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5"/>
        <w:pBdr/>
        <w:shd w:val="clear" w:color="auto" w:fill="ffffff"/>
        <w:tabs>
          <w:tab w:val="clear" w:leader="none" w:pos="709"/>
          <w:tab w:val="left" w:leader="none" w:pos="3148"/>
          <w:tab w:val="center" w:leader="none" w:pos="4818"/>
          <w:tab w:val="left" w:leader="none" w:pos="6926"/>
        </w:tabs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b/>
          <w:bCs/>
          <w:color w:val="000000"/>
          <w:sz w:val="24"/>
          <w:szCs w:val="24"/>
          <w:highlight w:val="none"/>
        </w:rPr>
        <w:t xml:space="preserve">Договор подряда № ____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hd w:val="clear" w:color="auto" w:fill="ffffff"/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  <w:highlight w:val="none"/>
        </w:rPr>
      </w:pPr>
      <w:r>
        <w:rPr>
          <w:b/>
          <w:bCs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color w:val="000000"/>
          <w:sz w:val="24"/>
          <w:szCs w:val="24"/>
          <w:highlight w:val="none"/>
        </w:rPr>
      </w:r>
    </w:p>
    <w:p>
      <w:pPr>
        <w:pStyle w:val="925"/>
        <w:pBdr/>
        <w:shd w:val="clear" w:color="auto" w:fill="ffffff"/>
        <w:tabs>
          <w:tab w:val="clear" w:leader="none" w:pos="709"/>
          <w:tab w:val="right" w:leader="none" w:pos="993"/>
        </w:tabs>
        <w:spacing w:line="240" w:lineRule="auto"/>
        <w:ind w:firstLine="0"/>
        <w:rPr>
          <w:sz w:val="24"/>
          <w:szCs w:val="24"/>
          <w:highlight w:val="none"/>
        </w:rPr>
      </w:pPr>
      <w:r>
        <w:rPr>
          <w:bCs/>
          <w:color w:val="000000"/>
          <w:sz w:val="24"/>
          <w:szCs w:val="24"/>
          <w:highlight w:val="none"/>
        </w:rPr>
        <w:t xml:space="preserve">г. Якутск </w:t>
        <w:tab/>
        <w:tab/>
        <w:tab/>
        <w:tab/>
        <w:tab/>
        <w:tab/>
        <w:tab/>
        <w:t xml:space="preserve">                        «___» _________ 20__ г.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hd w:val="clear" w:color="auto" w:fill="ffffff"/>
        <w:tabs>
          <w:tab w:val="clear" w:leader="none" w:pos="709"/>
          <w:tab w:val="right" w:leader="none" w:pos="9639"/>
        </w:tabs>
        <w:spacing w:line="240" w:lineRule="auto"/>
        <w:ind w:firstLine="0"/>
        <w:rPr>
          <w:rFonts w:ascii="Times New Roman" w:hAnsi="Times New Roman"/>
          <w:bCs/>
          <w:color w:val="000000"/>
          <w:sz w:val="24"/>
          <w:szCs w:val="24"/>
          <w:highlight w:val="none"/>
        </w:rPr>
      </w:pPr>
      <w:r>
        <w:rPr>
          <w:bCs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bCs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bCs/>
          <w:color w:val="000000"/>
          <w:sz w:val="24"/>
          <w:szCs w:val="24"/>
          <w:highlight w:val="none"/>
        </w:rPr>
      </w:r>
    </w:p>
    <w:p>
      <w:pPr>
        <w:pStyle w:val="1011"/>
        <w:pBdr/>
        <w:spacing/>
        <w:ind w:right="0" w:firstLine="567" w:left="0"/>
        <w:rPr>
          <w:highlight w:val="none"/>
        </w:rPr>
      </w:pPr>
      <w:r>
        <w:rPr>
          <w:b/>
          <w:color w:val="auto"/>
          <w:sz w:val="24"/>
          <w:szCs w:val="24"/>
          <w:highlight w:val="none"/>
        </w:rPr>
        <w:t xml:space="preserve">Акционерное общество «Сахаэнерго» </w:t>
      </w:r>
      <w:r>
        <w:rPr>
          <w:color w:val="auto"/>
          <w:sz w:val="24"/>
          <w:szCs w:val="24"/>
          <w:highlight w:val="none"/>
        </w:rPr>
        <w:t xml:space="preserve">(АО «Сахаэнерго») (далее – «Заказчик»), в лице ______________, действующего на основании ___________, с одной стороны, и</w:t>
      </w:r>
      <w:r>
        <w:rPr>
          <w:highlight w:val="none"/>
        </w:rPr>
      </w:r>
    </w:p>
    <w:p>
      <w:pPr>
        <w:pStyle w:val="1011"/>
        <w:pBdr/>
        <w:spacing/>
        <w:ind w:right="0" w:firstLine="567" w:left="0"/>
        <w:rPr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________________________ (далее – «Подрядчик»), в лице ________________, действующего на основании ______________, с другой стороны,</w:t>
      </w:r>
      <w:r>
        <w:rPr>
          <w:highlight w:val="none"/>
        </w:rPr>
      </w:r>
    </w:p>
    <w:p>
      <w:pPr>
        <w:pStyle w:val="1011"/>
        <w:pBdr/>
        <w:spacing/>
        <w:ind w:right="0" w:firstLine="567" w:left="0"/>
        <w:rPr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совместно в дальнейшем именуемые «Стороны», а по отдельности – «Сторона»,</w:t>
      </w:r>
      <w:r>
        <w:rPr>
          <w:highlight w:val="none"/>
        </w:rPr>
      </w:r>
    </w:p>
    <w:p>
      <w:pPr>
        <w:pStyle w:val="1011"/>
        <w:pBdr/>
        <w:spacing/>
        <w:ind w:right="0" w:firstLine="567" w:left="0"/>
        <w:rPr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по результатам проведенной Заказчиком не конкурентной процедуры по лоту №_________, и на основании Аналитической записки №</w:t>
      </w:r>
      <w:r>
        <w:rPr>
          <w:bCs/>
          <w:color w:val="auto"/>
          <w:sz w:val="24"/>
          <w:szCs w:val="24"/>
          <w:highlight w:val="none"/>
        </w:rPr>
        <w:t xml:space="preserve">_______ от «___»__________ года</w:t>
      </w:r>
      <w:r>
        <w:rPr>
          <w:bCs/>
          <w:color w:val="auto"/>
          <w:sz w:val="24"/>
          <w:szCs w:val="24"/>
          <w:highlight w:val="none"/>
          <w:lang w:val="ru-RU"/>
        </w:rPr>
        <w:t xml:space="preserve">,</w:t>
      </w:r>
      <w:r>
        <w:rPr>
          <w:highlight w:val="none"/>
        </w:rPr>
      </w:r>
    </w:p>
    <w:p>
      <w:pPr>
        <w:pStyle w:val="1011"/>
        <w:pBdr/>
        <w:spacing/>
        <w:ind w:right="0" w:firstLine="567" w:left="0"/>
        <w:rPr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заключили настоящий договор (далее – «Договор») о нижеследующем:</w:t>
      </w:r>
      <w:r>
        <w:rPr>
          <w:highlight w:val="none"/>
        </w:rPr>
      </w:r>
    </w:p>
    <w:p>
      <w:pPr>
        <w:pStyle w:val="1011"/>
        <w:pBdr/>
        <w:spacing/>
        <w:ind w:right="0" w:firstLine="567" w:left="0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color w:val="auto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color w:val="auto"/>
          <w:sz w:val="24"/>
          <w:szCs w:val="24"/>
          <w:highlight w:val="none"/>
          <w:lang w:val="ru-RU"/>
        </w:rPr>
      </w:r>
    </w:p>
    <w:p>
      <w:pPr>
        <w:pStyle w:val="1024"/>
        <w:pBdr/>
        <w:shd w:val="clear" w:color="auto" w:fill="ffffff"/>
        <w:tabs>
          <w:tab w:val="left" w:leader="none" w:pos="284"/>
          <w:tab w:val="clear" w:leader="none" w:pos="709"/>
        </w:tabs>
        <w:spacing/>
        <w:ind w:right="0" w:firstLine="567" w:left="0"/>
        <w:jc w:val="center"/>
        <w:rPr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Термины и определения</w:t>
      </w:r>
      <w:r>
        <w:rPr>
          <w:highlight w:val="none"/>
        </w:rPr>
      </w:r>
    </w:p>
    <w:p>
      <w:pPr>
        <w:pStyle w:val="1011"/>
        <w:pBdr/>
        <w:spacing/>
        <w:ind w:right="0" w:firstLine="567" w:left="0"/>
        <w:rPr>
          <w:highlight w:val="none"/>
        </w:rPr>
      </w:pPr>
      <w:r>
        <w:rPr>
          <w:color w:val="auto"/>
          <w:sz w:val="24"/>
          <w:szCs w:val="24"/>
          <w:highlight w:val="none"/>
          <w:lang w:val="ru-RU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highlight w:val="none"/>
        </w:rPr>
      </w:r>
    </w:p>
    <w:p>
      <w:pPr>
        <w:pStyle w:val="1024"/>
        <w:pBdr/>
        <w:spacing/>
        <w:ind w:right="0" w:firstLine="567" w:left="0"/>
        <w:jc w:val="both"/>
        <w:rPr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«Акт КС-2», «Справка КС-3» – </w:t>
      </w:r>
      <w:r>
        <w:rPr>
          <w:sz w:val="24"/>
          <w:szCs w:val="24"/>
          <w:highlight w:val="none"/>
          <w:lang w:eastAsia="en-US"/>
        </w:rPr>
        <w:t xml:space="preserve"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  <w:r>
        <w:rPr>
          <w:highlight w:val="none"/>
        </w:rPr>
      </w:r>
    </w:p>
    <w:p>
      <w:pPr>
        <w:pStyle w:val="1024"/>
        <w:pBdr/>
        <w:spacing/>
        <w:ind w:right="0" w:firstLine="567" w:left="0"/>
        <w:jc w:val="both"/>
        <w:rPr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«Акт КС-11», «Акт КС-14»</w:t>
      </w:r>
      <w:r>
        <w:rPr>
          <w:sz w:val="24"/>
          <w:szCs w:val="24"/>
          <w:highlight w:val="none"/>
          <w:lang w:eastAsia="en-US"/>
        </w:rPr>
        <w:t xml:space="preserve"> – документы, оформляемые по унифицированным формам №№ КС-11 «Акт приемки законченного строительством объекта» и КС-14 «Акт приемки законченного строительством объекта приемочной комиссией» (соответственно)</w:t>
      </w:r>
      <w:r>
        <w:rPr>
          <w:sz w:val="24"/>
          <w:szCs w:val="24"/>
          <w:highlight w:val="none"/>
        </w:rPr>
        <w:t xml:space="preserve">, утвержденным постановлением </w:t>
      </w:r>
      <w:r>
        <w:rPr>
          <w:sz w:val="24"/>
          <w:szCs w:val="24"/>
          <w:highlight w:val="none"/>
          <w:lang w:eastAsia="en-US"/>
        </w:rPr>
        <w:t xml:space="preserve">Госкомстата РФ от 30.10.1997 № 71а, подписываемые Сторонами по окончании всех Работ по Объекту, предусмотренных Договором.</w:t>
      </w:r>
      <w:r>
        <w:rPr>
          <w:highlight w:val="none"/>
        </w:rPr>
      </w:r>
    </w:p>
    <w:p>
      <w:pPr>
        <w:pStyle w:val="925"/>
        <w:pBdr/>
        <w:spacing w:line="240" w:lineRule="auto"/>
        <w:ind w:right="0" w:firstLine="567" w:left="0"/>
        <w:rPr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«Акт ОС-3» – </w:t>
      </w:r>
      <w:r>
        <w:rPr>
          <w:sz w:val="24"/>
          <w:szCs w:val="24"/>
          <w:highlight w:val="none"/>
          <w:lang w:eastAsia="en-US"/>
        </w:rPr>
        <w:t xml:space="preserve">документ, оформляемый по унифицированной форме № ОС-3 «А</w:t>
      </w:r>
      <w:r>
        <w:rPr>
          <w:sz w:val="24"/>
          <w:szCs w:val="24"/>
          <w:highlight w:val="none"/>
        </w:rPr>
        <w:t xml:space="preserve">кт</w:t>
      </w:r>
      <w:r>
        <w:rPr>
          <w:bCs/>
          <w:sz w:val="24"/>
          <w:szCs w:val="24"/>
          <w:highlight w:val="none"/>
        </w:rPr>
        <w:t xml:space="preserve"> о приеме-сдаче отремонтированных, реконструированных, модернизированных объектов основных средств, утвержденной </w:t>
      </w:r>
      <w:r>
        <w:rPr>
          <w:sz w:val="24"/>
          <w:szCs w:val="24"/>
          <w:highlight w:val="none"/>
        </w:rPr>
        <w:t xml:space="preserve">Постановлением Госкомстата РФ от 21.01.2003 № 7.</w:t>
      </w:r>
      <w:r>
        <w:rPr>
          <w:highlight w:val="none"/>
        </w:rPr>
      </w:r>
    </w:p>
    <w:p>
      <w:pPr>
        <w:pStyle w:val="1024"/>
        <w:pBdr/>
        <w:spacing/>
        <w:ind w:right="0" w:firstLine="567" w:left="0"/>
        <w:jc w:val="both"/>
        <w:rPr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«Акт ОС-15»</w:t>
      </w:r>
      <w:r>
        <w:rPr>
          <w:b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– документ, оформл</w:t>
      </w:r>
      <w:r>
        <w:rPr>
          <w:sz w:val="24"/>
          <w:szCs w:val="24"/>
          <w:highlight w:val="none"/>
          <w:lang w:eastAsia="en-US"/>
        </w:rPr>
        <w:t xml:space="preserve">яемый по унифицированной форме № ОС-15 «Акт о приемке-передаче оборудования в монтаж», утвержденной постановлением Госкомстата РФ от 21.01.2003 № 7, подписываемый Сторонами при передаче Оборудования Заказчика Подрядчику для выполнения работ по его монтажу.</w:t>
      </w:r>
      <w:r>
        <w:rPr>
          <w:highlight w:val="none"/>
        </w:rPr>
      </w:r>
    </w:p>
    <w:p>
      <w:pPr>
        <w:pStyle w:val="1024"/>
        <w:pBdr/>
        <w:spacing/>
        <w:ind w:right="0" w:firstLine="567" w:left="0"/>
        <w:jc w:val="both"/>
        <w:rPr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«Акт освидетельствования выполненных работ»</w:t>
      </w:r>
      <w:r>
        <w:rPr>
          <w:sz w:val="24"/>
          <w:szCs w:val="24"/>
          <w:highlight w:val="none"/>
          <w:lang w:eastAsia="en-US"/>
        </w:rPr>
        <w:t xml:space="preserve"> – документ, оформляемый по форме, установленной Договором, подписываемый Сторонами по завершении работ </w:t>
      </w:r>
      <w:r>
        <w:rPr>
          <w:sz w:val="24"/>
          <w:szCs w:val="24"/>
          <w:highlight w:val="none"/>
          <w:lang w:eastAsia="en-US"/>
        </w:rPr>
        <w:t xml:space="preserve">(кроме Проектных работ)</w:t>
      </w:r>
      <w:r>
        <w:rPr>
          <w:sz w:val="24"/>
          <w:szCs w:val="24"/>
          <w:highlight w:val="none"/>
          <w:lang w:eastAsia="en-US"/>
        </w:rPr>
        <w:t xml:space="preserve"> по каждому Этапу Работ, предусмотренных Договором.</w:t>
      </w:r>
      <w:r>
        <w:rPr>
          <w:highlight w:val="none"/>
        </w:rPr>
      </w:r>
    </w:p>
    <w:p>
      <w:pPr>
        <w:pStyle w:val="1024"/>
        <w:pBdr/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  <w:lang w:eastAsia="en-US"/>
        </w:rPr>
        <w:t xml:space="preserve">Акт освидетельствования выполненных работ не является документом, свидетельствующим о приемке Заказчиком Работ, в том числе переходе к Заказчику рисков случайной гибели / повре</w:t>
      </w:r>
      <w:r>
        <w:rPr>
          <w:sz w:val="24"/>
          <w:szCs w:val="24"/>
          <w:highlight w:val="none"/>
          <w:lang w:eastAsia="en-US"/>
        </w:rPr>
        <w:t xml:space="preserve">ждения результатов Работ (пункт 3 статьи 753 Гражданского кодекса  Российской Федерации (далее – ГК РФ), и его подписание не освобождает Подрядчика от ответственности за выявленные недостатки, несоответствия и / или дефекты в результатах выполненных Работ.</w:t>
      </w:r>
      <w:r>
        <w:rPr>
          <w:highlight w:val="none"/>
        </w:rPr>
      </w:r>
    </w:p>
    <w:p>
      <w:pPr>
        <w:pStyle w:val="1024"/>
        <w:widowControl w:val="false"/>
        <w:pBdr/>
        <w:shd w:val="clear" w:color="auto" w:fill="ffffff"/>
        <w:tabs>
          <w:tab w:val="left" w:leader="none" w:pos="567"/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«Гарантийный срок»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– период, в течение которого качество выполненных Работ и использованных Материально-технических ресурсов и оборудования должно соответствовать требованиям Договора, Проектной документации, </w:t>
      </w:r>
      <w:r>
        <w:rPr>
          <w:sz w:val="24"/>
          <w:szCs w:val="24"/>
          <w:highlight w:val="none"/>
          <w:lang w:eastAsia="en-US"/>
        </w:rPr>
        <w:t xml:space="preserve">Рабочей документации</w:t>
      </w:r>
      <w:r>
        <w:rPr>
          <w:sz w:val="24"/>
          <w:szCs w:val="24"/>
          <w:highlight w:val="none"/>
          <w:lang w:eastAsia="en-US"/>
        </w:rPr>
        <w:t xml:space="preserve"> и Применимого права,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>
        <w:rPr>
          <w:highlight w:val="none"/>
        </w:rPr>
      </w:r>
    </w:p>
    <w:p>
      <w:pPr>
        <w:pStyle w:val="1024"/>
        <w:widowControl w:val="false"/>
        <w:pBdr/>
        <w:shd w:val="clear" w:color="auto" w:fill="ffffff"/>
        <w:tabs>
          <w:tab w:val="left" w:leader="none" w:pos="567"/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«Гарантированные показатели»</w:t>
      </w:r>
      <w:r>
        <w:rPr>
          <w:sz w:val="24"/>
          <w:szCs w:val="24"/>
          <w:highlight w:val="none"/>
          <w:lang w:eastAsia="en-US"/>
        </w:rPr>
        <w:t xml:space="preserve"> – важные для Заказчика характеристики Объекта, которые могут быть измерены арифметически (количественно).</w:t>
      </w:r>
      <w:r>
        <w:rPr>
          <w:highlight w:val="none"/>
        </w:rPr>
      </w:r>
    </w:p>
    <w:p>
      <w:pPr>
        <w:pStyle w:val="1024"/>
        <w:widowControl w:val="false"/>
        <w:pBdr/>
        <w:shd w:val="clear" w:color="auto" w:fill="ffffff"/>
        <w:tabs>
          <w:tab w:val="left" w:leader="none" w:pos="567"/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«Давальческие материалы и запасные части»</w:t>
      </w:r>
      <w:r>
        <w:rPr>
          <w:sz w:val="24"/>
          <w:szCs w:val="24"/>
          <w:highlight w:val="none"/>
          <w:lang w:eastAsia="en-US"/>
        </w:rPr>
        <w:t xml:space="preserve"> – материалы (запасные части), </w:t>
      </w:r>
      <w:r>
        <w:rPr>
          <w:sz w:val="24"/>
          <w:szCs w:val="24"/>
          <w:highlight w:val="none"/>
        </w:rPr>
        <w:t xml:space="preserve">которые будут являться составной частью Результата работ по Договору, </w:t>
      </w:r>
      <w:r>
        <w:rPr>
          <w:sz w:val="24"/>
          <w:szCs w:val="24"/>
          <w:highlight w:val="none"/>
          <w:lang w:eastAsia="en-US"/>
        </w:rPr>
        <w:t xml:space="preserve">подлежащие приемке Подрядчиком от Заказчика для выполнения Работ по Договору </w:t>
      </w:r>
      <w:r>
        <w:rPr>
          <w:sz w:val="24"/>
          <w:szCs w:val="24"/>
          <w:highlight w:val="none"/>
          <w:lang w:eastAsia="en-US"/>
        </w:rPr>
        <w:t xml:space="preserve">без оплаты стоимости таких материалов (запасных частей), с обязательством их использования при выполнении Работ и полного возврата Заказчику неиспользованных остатков. Перечень Давальческих материалов и запасных частей определяется в приложении к Договору.</w:t>
      </w:r>
      <w:r>
        <w:rPr>
          <w:highlight w:val="none"/>
        </w:rPr>
      </w:r>
    </w:p>
    <w:p>
      <w:pPr>
        <w:pStyle w:val="1024"/>
        <w:widowControl w:val="false"/>
        <w:pBdr/>
        <w:shd w:val="clear" w:color="auto" w:fill="ffffff"/>
        <w:tabs>
          <w:tab w:val="left" w:leader="none" w:pos="567"/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«Договор»</w:t>
      </w:r>
      <w:r>
        <w:rPr>
          <w:sz w:val="24"/>
          <w:szCs w:val="24"/>
          <w:highlight w:val="none"/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highlight w:val="none"/>
        </w:rPr>
      </w:r>
    </w:p>
    <w:p>
      <w:pPr>
        <w:pStyle w:val="1024"/>
        <w:widowControl w:val="false"/>
        <w:pBdr/>
        <w:shd w:val="clear" w:color="auto" w:fill="ffffff"/>
        <w:tabs>
          <w:tab w:val="left" w:leader="none" w:pos="567"/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«Исполнительная документация» – </w:t>
      </w:r>
      <w:r>
        <w:rPr>
          <w:sz w:val="24"/>
          <w:szCs w:val="24"/>
          <w:highlight w:val="none"/>
          <w:lang w:eastAsia="en-US"/>
        </w:rPr>
        <w:t xml:space="preserve">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изменениях, сделанных лицами, ответственными за производство строительно-монтажных Работ</w:t>
      </w:r>
      <w:r>
        <w:rPr>
          <w:sz w:val="24"/>
          <w:szCs w:val="24"/>
          <w:highlight w:val="none"/>
          <w:lang w:eastAsia="en-US"/>
        </w:rPr>
        <w:t xml:space="preserve">. Исполнительная документация, с учетом специфики выполняемых по настоящему Договору Работ, включает в себя и другие документы из числа предусмотренных СНиП 12-01-2004, при наличии соответствующих указаний в Техническом задании (Приложение № 1 к Договору).</w:t>
      </w:r>
      <w:r>
        <w:rPr>
          <w:highlight w:val="none"/>
        </w:rPr>
      </w:r>
    </w:p>
    <w:p>
      <w:pPr>
        <w:pStyle w:val="1024"/>
        <w:widowControl w:val="false"/>
        <w:pBdr/>
        <w:shd w:val="clear" w:color="auto" w:fill="ffffff"/>
        <w:tabs>
          <w:tab w:val="left" w:leader="none" w:pos="567"/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 </w:t>
      </w:r>
      <w:r>
        <w:rPr>
          <w:b/>
          <w:sz w:val="24"/>
          <w:szCs w:val="24"/>
          <w:highlight w:val="none"/>
          <w:lang w:eastAsia="en-US"/>
        </w:rPr>
        <w:t xml:space="preserve">«Коммерческая тайна»</w:t>
      </w:r>
      <w:r>
        <w:rPr>
          <w:sz w:val="24"/>
          <w:szCs w:val="24"/>
          <w:highlight w:val="none"/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  <w:r>
        <w:rPr>
          <w:highlight w:val="none"/>
        </w:rPr>
      </w:r>
    </w:p>
    <w:p>
      <w:pPr>
        <w:pStyle w:val="1024"/>
        <w:widowControl w:val="false"/>
        <w:pBdr/>
        <w:shd w:val="clear" w:color="auto" w:fill="ffffff"/>
        <w:tabs>
          <w:tab w:val="left" w:leader="none" w:pos="567"/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«Материально-технические ресурсы и оборудование»</w:t>
      </w:r>
      <w:r>
        <w:rPr>
          <w:sz w:val="24"/>
          <w:szCs w:val="24"/>
          <w:highlight w:val="none"/>
          <w:lang w:eastAsia="en-US"/>
        </w:rPr>
        <w:t xml:space="preserve"> – всевозможные материалы, запасные части, оборудование, строительные конструкции, детали, комплектующие изделия, инвентарь, отделочные мате</w:t>
      </w:r>
      <w:r>
        <w:rPr>
          <w:sz w:val="24"/>
          <w:szCs w:val="24"/>
          <w:highlight w:val="none"/>
          <w:lang w:eastAsia="en-US"/>
        </w:rPr>
        <w:t xml:space="preserve">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выполнения Работ по Договору и последующей нормальной и надежной эксплуатации Объекта.</w:t>
      </w:r>
      <w:r>
        <w:rPr>
          <w:highlight w:val="none"/>
        </w:rPr>
      </w:r>
    </w:p>
    <w:p>
      <w:pPr>
        <w:pStyle w:val="1024"/>
        <w:widowControl w:val="false"/>
        <w:pBdr/>
        <w:shd w:val="clear" w:color="auto" w:fill="ffffff"/>
        <w:tabs>
          <w:tab w:val="left" w:leader="none" w:pos="567"/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«Отказ от Договора» </w:t>
      </w:r>
      <w:r>
        <w:rPr>
          <w:sz w:val="24"/>
          <w:szCs w:val="24"/>
          <w:highlight w:val="none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</w:t>
      </w:r>
      <w:r>
        <w:rPr>
          <w:highlight w:val="none"/>
        </w:rPr>
      </w:r>
    </w:p>
    <w:p>
      <w:pPr>
        <w:pStyle w:val="928"/>
        <w:keepNext w:val="false"/>
        <w:widowControl w:val="false"/>
        <w:pBdr/>
        <w:tabs>
          <w:tab w:val="left" w:leader="none" w:pos="567"/>
          <w:tab w:val="clear" w:leader="none" w:pos="709"/>
        </w:tabs>
        <w:spacing w:after="0" w:before="0"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  <w:lang w:val="ru-RU" w:eastAsia="en-US"/>
        </w:rPr>
        <w:t xml:space="preserve">«Применимое право»</w:t>
      </w:r>
      <w:r>
        <w:rPr>
          <w:b w:val="0"/>
          <w:sz w:val="24"/>
          <w:szCs w:val="24"/>
          <w:highlight w:val="none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</w:t>
      </w:r>
      <w:r>
        <w:rPr>
          <w:b w:val="0"/>
          <w:sz w:val="24"/>
          <w:szCs w:val="24"/>
          <w:highlight w:val="none"/>
          <w:lang w:val="ru-RU" w:eastAsia="en-US"/>
        </w:rPr>
        <w:t xml:space="preserve">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</w:t>
      </w:r>
      <w:r>
        <w:rPr>
          <w:b w:val="0"/>
          <w:sz w:val="24"/>
          <w:szCs w:val="24"/>
          <w:highlight w:val="none"/>
          <w:lang w:val="ru-RU" w:eastAsia="en-US"/>
        </w:rPr>
        <w:t xml:space="preserve">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  <w:r>
        <w:rPr>
          <w:highlight w:val="none"/>
        </w:rPr>
      </w:r>
    </w:p>
    <w:p>
      <w:pPr>
        <w:pStyle w:val="928"/>
        <w:keepNext w:val="false"/>
        <w:widowControl w:val="false"/>
        <w:pBdr/>
        <w:tabs>
          <w:tab w:val="left" w:leader="none" w:pos="567"/>
          <w:tab w:val="clear" w:leader="none" w:pos="709"/>
        </w:tabs>
        <w:spacing w:after="0" w:before="0"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  <w:lang w:val="ru-RU" w:eastAsia="en-US"/>
        </w:rPr>
        <w:t xml:space="preserve">«Работы»</w:t>
      </w:r>
      <w:r>
        <w:rPr>
          <w:b w:val="0"/>
          <w:sz w:val="24"/>
          <w:szCs w:val="24"/>
          <w:highlight w:val="none"/>
          <w:lang w:val="ru-RU" w:eastAsia="en-US"/>
        </w:rPr>
        <w:t xml:space="preserve"> – все производимые / выполняемые Подрядчиком на свой риск, с использованием своих и / или привлеченных за свой счет сил и средств (Материально-технических ресурсов и оборудования, инструмента), </w:t>
      </w:r>
      <w:r>
        <w:rPr>
          <w:b w:val="0"/>
          <w:sz w:val="24"/>
          <w:szCs w:val="24"/>
          <w:highlight w:val="none"/>
          <w:lang w:val="ru-RU" w:eastAsia="en-US"/>
        </w:rPr>
        <w:t xml:space="preserve">Давальческих материалов и запасных частей и Оборудования Заказчика</w:t>
      </w:r>
      <w:r>
        <w:rPr>
          <w:b w:val="0"/>
          <w:sz w:val="24"/>
          <w:szCs w:val="24"/>
          <w:highlight w:val="none"/>
          <w:lang w:val="ru-RU" w:eastAsia="en-US"/>
        </w:rPr>
        <w:t xml:space="preserve"> в соответствии с условиями Договора, Проектной документацией, </w:t>
      </w:r>
      <w:r>
        <w:rPr>
          <w:b w:val="0"/>
          <w:sz w:val="24"/>
          <w:szCs w:val="24"/>
          <w:highlight w:val="none"/>
          <w:lang w:val="ru-RU" w:eastAsia="en-US"/>
        </w:rPr>
        <w:t xml:space="preserve">Рабочей документацией</w:t>
      </w:r>
      <w:r>
        <w:rPr>
          <w:b w:val="0"/>
          <w:sz w:val="24"/>
          <w:szCs w:val="24"/>
          <w:highlight w:val="none"/>
          <w:lang w:val="ru-RU" w:eastAsia="en-US"/>
        </w:rPr>
        <w:t xml:space="preserve"> и Применимым правом работы, в том числе </w:t>
      </w:r>
      <w:r>
        <w:rPr>
          <w:b w:val="0"/>
          <w:sz w:val="24"/>
          <w:szCs w:val="24"/>
          <w:highlight w:val="none"/>
          <w:lang w:val="ru-RU" w:eastAsia="en-US"/>
        </w:rPr>
        <w:t xml:space="preserve">Проектные работы,</w:t>
      </w:r>
      <w:r>
        <w:rPr>
          <w:b w:val="0"/>
          <w:sz w:val="24"/>
          <w:szCs w:val="24"/>
          <w:highlight w:val="none"/>
          <w:lang w:val="ru-RU" w:eastAsia="en-US"/>
        </w:rPr>
        <w:t xml:space="preserve"> строительно-монтажные, пусконаладочные и прочие неразрывно связанные с ними работы, работы по исправлению</w:t>
      </w:r>
      <w:r>
        <w:rPr>
          <w:sz w:val="24"/>
          <w:szCs w:val="24"/>
          <w:highlight w:val="none"/>
          <w:lang w:eastAsia="ru-RU"/>
        </w:rPr>
        <w:t xml:space="preserve"> </w:t>
      </w:r>
      <w:r>
        <w:rPr>
          <w:b w:val="0"/>
          <w:sz w:val="24"/>
          <w:szCs w:val="24"/>
          <w:highlight w:val="none"/>
          <w:lang w:val="ru-RU" w:eastAsia="ru-RU"/>
        </w:rPr>
        <w:t xml:space="preserve">выявленных</w:t>
      </w:r>
      <w:r>
        <w:rPr>
          <w:sz w:val="24"/>
          <w:szCs w:val="24"/>
          <w:highlight w:val="none"/>
          <w:lang w:val="ru-RU" w:eastAsia="ru-RU"/>
        </w:rPr>
        <w:t xml:space="preserve"> </w:t>
      </w:r>
      <w:r>
        <w:rPr>
          <w:b w:val="0"/>
          <w:sz w:val="24"/>
          <w:szCs w:val="24"/>
          <w:highlight w:val="none"/>
          <w:lang w:eastAsia="ru-RU"/>
        </w:rPr>
        <w:t xml:space="preserve">недостатков, несоответстви</w:t>
      </w:r>
      <w:r>
        <w:rPr>
          <w:b w:val="0"/>
          <w:sz w:val="24"/>
          <w:szCs w:val="24"/>
          <w:highlight w:val="none"/>
          <w:lang w:val="ru-RU" w:eastAsia="ru-RU"/>
        </w:rPr>
        <w:t xml:space="preserve">й</w:t>
      </w:r>
      <w:r>
        <w:rPr>
          <w:b w:val="0"/>
          <w:sz w:val="24"/>
          <w:szCs w:val="24"/>
          <w:highlight w:val="none"/>
          <w:lang w:eastAsia="ru-RU"/>
        </w:rPr>
        <w:t xml:space="preserve"> и / или дефект</w:t>
      </w:r>
      <w:r>
        <w:rPr>
          <w:b w:val="0"/>
          <w:sz w:val="24"/>
          <w:szCs w:val="24"/>
          <w:highlight w:val="none"/>
          <w:lang w:val="ru-RU" w:eastAsia="ru-RU"/>
        </w:rPr>
        <w:t xml:space="preserve">ов</w:t>
      </w:r>
      <w:r>
        <w:rPr>
          <w:b w:val="0"/>
          <w:sz w:val="24"/>
          <w:szCs w:val="24"/>
          <w:highlight w:val="none"/>
          <w:lang w:eastAsia="ru-RU"/>
        </w:rPr>
        <w:t xml:space="preserve"> в </w:t>
      </w:r>
      <w:r>
        <w:rPr>
          <w:b w:val="0"/>
          <w:sz w:val="24"/>
          <w:szCs w:val="24"/>
          <w:highlight w:val="none"/>
          <w:lang w:val="ru-RU" w:eastAsia="ru-RU"/>
        </w:rPr>
        <w:t xml:space="preserve">Результате</w:t>
      </w:r>
      <w:r>
        <w:rPr>
          <w:b w:val="0"/>
          <w:sz w:val="24"/>
          <w:szCs w:val="24"/>
          <w:highlight w:val="none"/>
          <w:lang w:eastAsia="ru-RU"/>
        </w:rPr>
        <w:t xml:space="preserve"> </w:t>
      </w:r>
      <w:r>
        <w:rPr>
          <w:b w:val="0"/>
          <w:sz w:val="24"/>
          <w:szCs w:val="24"/>
          <w:highlight w:val="none"/>
          <w:lang w:val="ru-RU" w:eastAsia="ru-RU"/>
        </w:rPr>
        <w:t xml:space="preserve">работ</w:t>
      </w:r>
      <w:r>
        <w:rPr>
          <w:b w:val="0"/>
          <w:sz w:val="24"/>
          <w:szCs w:val="24"/>
          <w:highlight w:val="none"/>
          <w:lang w:eastAsia="ru-RU"/>
        </w:rPr>
        <w:t xml:space="preserve">, а также любые иные работы</w:t>
      </w:r>
      <w:r>
        <w:rPr>
          <w:b w:val="0"/>
          <w:sz w:val="24"/>
          <w:szCs w:val="24"/>
          <w:highlight w:val="none"/>
          <w:lang w:val="ru-RU" w:eastAsia="ru-RU"/>
        </w:rPr>
        <w:t xml:space="preserve"> (в том числе приобретение Материально-технических ресурсов и оборудования)</w:t>
      </w:r>
      <w:r>
        <w:rPr>
          <w:b w:val="0"/>
          <w:sz w:val="24"/>
          <w:szCs w:val="24"/>
          <w:highlight w:val="none"/>
          <w:lang w:eastAsia="ru-RU"/>
        </w:rPr>
        <w:t xml:space="preserve">, необходимые для выполнения Подрядчиком своих обязательств по Договору, независимо от </w:t>
      </w:r>
      <w:r>
        <w:rPr>
          <w:b w:val="0"/>
          <w:sz w:val="24"/>
          <w:szCs w:val="24"/>
          <w:highlight w:val="none"/>
          <w:lang w:val="ru-RU" w:eastAsia="ru-RU"/>
        </w:rPr>
        <w:t xml:space="preserve">их</w:t>
      </w:r>
      <w:r>
        <w:rPr>
          <w:b w:val="0"/>
          <w:sz w:val="24"/>
          <w:szCs w:val="24"/>
          <w:highlight w:val="none"/>
          <w:lang w:eastAsia="ru-RU"/>
        </w:rPr>
        <w:t xml:space="preserve"> прямо</w:t>
      </w:r>
      <w:r>
        <w:rPr>
          <w:b w:val="0"/>
          <w:sz w:val="24"/>
          <w:szCs w:val="24"/>
          <w:highlight w:val="none"/>
          <w:lang w:val="ru-RU" w:eastAsia="ru-RU"/>
        </w:rPr>
        <w:t xml:space="preserve">го указания</w:t>
      </w:r>
      <w:r>
        <w:rPr>
          <w:b w:val="0"/>
          <w:sz w:val="24"/>
          <w:szCs w:val="24"/>
          <w:highlight w:val="none"/>
          <w:lang w:eastAsia="ru-RU"/>
        </w:rPr>
        <w:t xml:space="preserve"> в Договоре.</w:t>
      </w:r>
      <w:r>
        <w:rPr>
          <w:highlight w:val="none"/>
        </w:rPr>
      </w:r>
    </w:p>
    <w:p>
      <w:pPr>
        <w:pStyle w:val="925"/>
        <w:widowControl w:val="false"/>
        <w:pBdr/>
        <w:tabs>
          <w:tab w:val="left" w:leader="none" w:pos="567"/>
          <w:tab w:val="clear" w:leader="none" w:pos="709"/>
        </w:tabs>
        <w:spacing w:line="240" w:lineRule="auto"/>
        <w:ind w:right="0" w:firstLine="567" w:left="0"/>
        <w:rPr>
          <w:highlight w:val="none"/>
        </w:rPr>
      </w:pPr>
      <w:r>
        <w:rPr>
          <w:sz w:val="24"/>
          <w:szCs w:val="24"/>
          <w:highlight w:val="none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</w:t>
      </w:r>
      <w:r>
        <w:rPr>
          <w:highlight w:val="none"/>
        </w:rPr>
      </w:r>
    </w:p>
    <w:p>
      <w:pPr>
        <w:pStyle w:val="925"/>
        <w:widowControl w:val="false"/>
        <w:pBdr/>
        <w:tabs>
          <w:tab w:val="left" w:leader="none" w:pos="567"/>
          <w:tab w:val="clear" w:leader="none" w:pos="709"/>
        </w:tabs>
        <w:spacing w:line="240" w:lineRule="auto"/>
        <w:ind w:right="0" w:firstLine="567" w:left="0"/>
        <w:rPr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«Рабочая документация» – </w:t>
      </w:r>
      <w:r>
        <w:rPr>
          <w:sz w:val="24"/>
          <w:szCs w:val="24"/>
          <w:highlight w:val="none"/>
          <w:lang w:eastAsia="en-US"/>
        </w:rPr>
        <w:t xml:space="preserve">совокупность текстовых и графических документов на русском языке, обеспечивающих реализацию принятых в утверж</w:t>
      </w:r>
      <w:r>
        <w:rPr>
          <w:sz w:val="24"/>
          <w:szCs w:val="24"/>
          <w:highlight w:val="none"/>
          <w:lang w:eastAsia="en-US"/>
        </w:rPr>
        <w:t xml:space="preserve">денной 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 / или изготовления строительных изделий, с</w:t>
      </w:r>
      <w:r>
        <w:rPr>
          <w:sz w:val="24"/>
          <w:szCs w:val="24"/>
          <w:highlight w:val="none"/>
        </w:rPr>
        <w:t xml:space="preserve">одержащая:</w:t>
      </w:r>
      <w:r>
        <w:rPr>
          <w:highlight w:val="none"/>
        </w:rPr>
      </w:r>
    </w:p>
    <w:p>
      <w:pPr>
        <w:pStyle w:val="1024"/>
        <w:widowControl w:val="false"/>
        <w:numPr>
          <w:ilvl w:val="0"/>
          <w:numId w:val="7"/>
        </w:numPr>
        <w:pBdr/>
        <w:shd w:val="clear" w:color="auto" w:fill="ffffff"/>
        <w:tabs>
          <w:tab w:val="left" w:leader="none" w:pos="567"/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  <w:lang w:eastAsia="en-US"/>
        </w:rPr>
        <w:t xml:space="preserve">рабочие чертежи основного комплекта, спецификации оборудования и изделий;</w:t>
      </w:r>
      <w:r>
        <w:rPr>
          <w:highlight w:val="none"/>
        </w:rPr>
      </w:r>
    </w:p>
    <w:p>
      <w:pPr>
        <w:pStyle w:val="1024"/>
        <w:widowControl w:val="false"/>
        <w:numPr>
          <w:ilvl w:val="0"/>
          <w:numId w:val="7"/>
        </w:numPr>
        <w:pBdr/>
        <w:shd w:val="clear" w:color="auto" w:fill="ffffff"/>
        <w:tabs>
          <w:tab w:val="left" w:leader="none" w:pos="567"/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  <w:lang w:eastAsia="en-US"/>
        </w:rPr>
        <w:t xml:space="preserve">документы, разработанные в дополнение к рабочим чертежам основного комплекта;</w:t>
      </w:r>
      <w:r>
        <w:rPr>
          <w:highlight w:val="none"/>
        </w:rPr>
      </w:r>
    </w:p>
    <w:p>
      <w:pPr>
        <w:pStyle w:val="1024"/>
        <w:widowControl w:val="false"/>
        <w:numPr>
          <w:ilvl w:val="0"/>
          <w:numId w:val="7"/>
        </w:numPr>
        <w:pBdr/>
        <w:shd w:val="clear" w:color="auto" w:fill="ffffff"/>
        <w:tabs>
          <w:tab w:val="left" w:leader="none" w:pos="567"/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  <w:lang w:eastAsia="en-US"/>
        </w:rPr>
        <w:t xml:space="preserve">сметную документацию, определяющую полную стоимость Работ (кроме Проектных Работ) по Рабочей документации.</w:t>
      </w:r>
      <w:r>
        <w:rPr>
          <w:highlight w:val="none"/>
        </w:rPr>
      </w:r>
    </w:p>
    <w:p>
      <w:pPr>
        <w:pStyle w:val="925"/>
        <w:widowControl w:val="false"/>
        <w:pBdr/>
        <w:tabs>
          <w:tab w:val="left" w:leader="none" w:pos="567"/>
          <w:tab w:val="clear" w:leader="none" w:pos="709"/>
        </w:tabs>
        <w:spacing w:line="240" w:lineRule="auto"/>
        <w:ind w:right="0" w:firstLine="567" w:left="0"/>
        <w:rPr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«Рабочий день»</w:t>
      </w:r>
      <w:r>
        <w:rPr>
          <w:sz w:val="24"/>
          <w:szCs w:val="24"/>
          <w:highlight w:val="none"/>
          <w:lang w:eastAsia="en-US"/>
        </w:rPr>
        <w:t xml:space="preserve"> – день, который в соответствии с Применимым правом, является рабочим днем в Российской Федерации.</w:t>
      </w:r>
      <w:r>
        <w:rPr>
          <w:highlight w:val="none"/>
        </w:rPr>
      </w:r>
    </w:p>
    <w:p>
      <w:pPr>
        <w:pStyle w:val="928"/>
        <w:keepNext w:val="false"/>
        <w:widowControl w:val="false"/>
        <w:pBdr/>
        <w:tabs>
          <w:tab w:val="left" w:leader="none" w:pos="567"/>
          <w:tab w:val="clear" w:leader="none" w:pos="709"/>
        </w:tabs>
        <w:spacing w:after="0" w:before="0"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  <w:lang w:val="ru-RU" w:eastAsia="en-US"/>
        </w:rPr>
        <w:t xml:space="preserve">«Скрытые работы»</w:t>
      </w:r>
      <w:r>
        <w:rPr>
          <w:b w:val="0"/>
          <w:sz w:val="24"/>
          <w:szCs w:val="24"/>
          <w:highlight w:val="none"/>
          <w:lang w:val="ru-RU" w:eastAsia="en-US"/>
        </w:rPr>
        <w:t xml:space="preserve"> – 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>
        <w:rPr>
          <w:rFonts w:eastAsia="Calibri" w:eastAsiaTheme="minorHAnsi"/>
          <w:b w:val="0"/>
          <w:bCs/>
          <w:sz w:val="24"/>
          <w:szCs w:val="24"/>
          <w:highlight w:val="none"/>
          <w:lang w:eastAsia="en-US"/>
        </w:rPr>
        <w:t xml:space="preserve">но в соответствии с технологией их проведени</w:t>
      </w:r>
      <w:r>
        <w:rPr>
          <w:rFonts w:eastAsia="Calibri" w:eastAsiaTheme="minorHAnsi"/>
          <w:b w:val="0"/>
          <w:bCs/>
          <w:sz w:val="24"/>
          <w:szCs w:val="24"/>
          <w:highlight w:val="none"/>
          <w:lang w:val="ru-RU" w:eastAsia="en-US"/>
        </w:rPr>
        <w:t xml:space="preserve">я</w:t>
      </w:r>
      <w:r>
        <w:rPr>
          <w:rFonts w:eastAsia="Calibri" w:eastAsiaTheme="minorHAnsi"/>
          <w:b w:val="0"/>
          <w:bCs/>
          <w:sz w:val="24"/>
          <w:szCs w:val="24"/>
          <w:highlight w:val="none"/>
          <w:lang w:eastAsia="en-US"/>
        </w:rPr>
        <w:t xml:space="preserve"> контроль за </w:t>
      </w:r>
      <w:r>
        <w:rPr>
          <w:rFonts w:eastAsia="Calibri" w:eastAsiaTheme="minorHAnsi"/>
          <w:b w:val="0"/>
          <w:bCs/>
          <w:sz w:val="24"/>
          <w:szCs w:val="24"/>
          <w:highlight w:val="none"/>
          <w:lang w:val="ru-RU" w:eastAsia="en-US"/>
        </w:rPr>
        <w:t xml:space="preserve">их </w:t>
      </w:r>
      <w:r>
        <w:rPr>
          <w:rFonts w:eastAsia="Calibri" w:eastAsiaTheme="minorHAnsi"/>
          <w:b w:val="0"/>
          <w:bCs/>
          <w:sz w:val="24"/>
          <w:szCs w:val="24"/>
          <w:highlight w:val="none"/>
          <w:lang w:eastAsia="en-US"/>
        </w:rPr>
        <w:t xml:space="preserve">осуществлением не может быть проведен </w:t>
      </w:r>
      <w:r>
        <w:rPr>
          <w:rFonts w:eastAsia="Calibri" w:eastAsiaTheme="minorHAnsi"/>
          <w:b w:val="0"/>
          <w:bCs/>
          <w:sz w:val="24"/>
          <w:szCs w:val="24"/>
          <w:highlight w:val="none"/>
          <w:lang w:val="ru-RU" w:eastAsia="en-US"/>
        </w:rPr>
        <w:t xml:space="preserve">Заказчиком </w:t>
      </w:r>
      <w:r>
        <w:rPr>
          <w:rFonts w:eastAsia="Calibri" w:eastAsiaTheme="minorHAnsi"/>
          <w:b w:val="0"/>
          <w:bCs/>
          <w:sz w:val="24"/>
          <w:szCs w:val="24"/>
          <w:highlight w:val="none"/>
          <w:lang w:eastAsia="en-US"/>
        </w:rPr>
        <w:t xml:space="preserve">после выполнения последующих работ без вскрытия, разборки или повреждения строительных конструкций и участков сетей (систем) инженерно-технического обеспечения</w:t>
      </w:r>
      <w:r>
        <w:rPr>
          <w:rFonts w:eastAsia="Calibri" w:eastAsiaTheme="minorHAnsi"/>
          <w:b w:val="0"/>
          <w:bCs/>
          <w:sz w:val="24"/>
          <w:szCs w:val="24"/>
          <w:highlight w:val="none"/>
          <w:lang w:val="ru-RU" w:eastAsia="en-US"/>
        </w:rPr>
        <w:t xml:space="preserve">.</w:t>
      </w:r>
      <w:r>
        <w:rPr>
          <w:highlight w:val="none"/>
        </w:rPr>
      </w:r>
    </w:p>
    <w:p>
      <w:pPr>
        <w:pStyle w:val="928"/>
        <w:widowControl w:val="false"/>
        <w:pBdr/>
        <w:tabs>
          <w:tab w:val="left" w:leader="none" w:pos="567"/>
          <w:tab w:val="clear" w:leader="none" w:pos="709"/>
        </w:tabs>
        <w:spacing w:after="0" w:before="0"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  <w:lang w:val="ru-RU" w:eastAsia="en-US"/>
        </w:rPr>
        <w:t xml:space="preserve">«Техническое задание»</w:t>
      </w:r>
      <w:r>
        <w:rPr>
          <w:b w:val="0"/>
          <w:sz w:val="24"/>
          <w:szCs w:val="24"/>
          <w:highlight w:val="none"/>
          <w:lang w:val="ru-RU" w:eastAsia="en-US"/>
        </w:rPr>
        <w:t xml:space="preserve"> – документ, содержащий характеристики Объекта, объем и состав Работ по Договору, перечень необходимого оборудования и требования Заказчика к выполнению Подрядчиком Работ по Договору в целом.</w:t>
      </w:r>
      <w:r>
        <w:rPr>
          <w:highlight w:val="none"/>
        </w:rPr>
      </w:r>
    </w:p>
    <w:p>
      <w:pPr>
        <w:pStyle w:val="925"/>
        <w:widowControl w:val="false"/>
        <w:pBdr/>
        <w:tabs>
          <w:tab w:val="left" w:leader="none" w:pos="567"/>
          <w:tab w:val="clear" w:leader="none" w:pos="709"/>
        </w:tabs>
        <w:spacing w:after="0" w:before="0" w:line="240" w:lineRule="auto"/>
        <w:ind w:right="0" w:firstLine="567" w:left="0"/>
        <w:jc w:val="both"/>
        <w:rPr>
          <w:highlight w:val="none"/>
          <w:shd w:val="clear" w:color="auto" w:fill="auto"/>
        </w:rPr>
      </w:pPr>
      <w:r>
        <w:rPr>
          <w:b/>
          <w:bCs/>
          <w:sz w:val="24"/>
          <w:szCs w:val="24"/>
          <w:highlight w:val="none"/>
          <w:shd w:val="clear" w:color="auto" w:fill="auto"/>
          <w:lang w:val="ru-RU" w:eastAsia="en-US"/>
        </w:rPr>
        <w:t xml:space="preserve">«Универсальный передаточный документ (УПД)»</w:t>
      </w:r>
      <w:r>
        <w:rPr>
          <w:b w:val="0"/>
          <w:sz w:val="24"/>
          <w:szCs w:val="24"/>
          <w:highlight w:val="none"/>
          <w:shd w:val="clear" w:color="auto" w:fill="auto"/>
          <w:lang w:val="ru-RU" w:eastAsia="en-US"/>
        </w:rPr>
        <w:t xml:space="preserve"> – форма документа, рекомендованная для применения письмом ФНС России от 21.10.2013 № ММВ-20-3/96@ (объединяет реквизиты счета-фактуры и первичного документа о передаче товаров, работ, услуг).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928"/>
        <w:keepNext w:val="false"/>
        <w:widowControl w:val="false"/>
        <w:pBdr/>
        <w:tabs>
          <w:tab w:val="left" w:leader="none" w:pos="567"/>
          <w:tab w:val="clear" w:leader="none" w:pos="709"/>
        </w:tabs>
        <w:spacing w:after="0" w:before="0"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  <w:lang w:val="ru-RU" w:eastAsia="en-US"/>
        </w:rPr>
        <w:t xml:space="preserve">«Цена Договора»</w:t>
      </w:r>
      <w:r>
        <w:rPr>
          <w:b w:val="0"/>
          <w:sz w:val="24"/>
          <w:szCs w:val="24"/>
          <w:highlight w:val="none"/>
          <w:lang w:val="ru-RU" w:eastAsia="en-US"/>
        </w:rPr>
        <w:t xml:space="preserve"> – определя</w:t>
      </w:r>
      <w:r>
        <w:rPr>
          <w:b w:val="0"/>
          <w:sz w:val="24"/>
          <w:szCs w:val="24"/>
          <w:highlight w:val="none"/>
          <w:lang w:val="ru-RU" w:eastAsia="en-US"/>
        </w:rPr>
        <w:t xml:space="preserve">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  <w:highlight w:val="none"/>
        </w:rPr>
        <w:t xml:space="preserve"> </w:t>
      </w:r>
      <w:r>
        <w:rPr>
          <w:b w:val="0"/>
          <w:sz w:val="24"/>
          <w:szCs w:val="24"/>
          <w:highlight w:val="none"/>
          <w:lang w:val="ru-RU" w:eastAsia="en-US"/>
        </w:rPr>
        <w:t xml:space="preserve">на весь период действия Договора.</w:t>
      </w:r>
      <w:r>
        <w:rPr>
          <w:highlight w:val="none"/>
        </w:rPr>
      </w:r>
    </w:p>
    <w:p>
      <w:pPr>
        <w:pStyle w:val="1024"/>
        <w:widowControl w:val="false"/>
        <w:pBdr/>
        <w:shd w:val="clear" w:color="auto" w:fill="ffffff"/>
        <w:tabs>
          <w:tab w:val="left" w:leader="none" w:pos="567"/>
          <w:tab w:val="clear" w:leader="none" w:pos="709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</w:rPr>
      </w:pPr>
      <w:r>
        <w:rPr>
          <w:b/>
          <w:sz w:val="24"/>
          <w:szCs w:val="24"/>
          <w:highlight w:val="none"/>
          <w:lang w:val="ru-RU" w:eastAsia="en-US"/>
        </w:rPr>
        <w:t xml:space="preserve">«Давальческие материалы и запасные части» (ДавМ)</w:t>
      </w:r>
      <w:r>
        <w:rPr>
          <w:b w:val="0"/>
          <w:sz w:val="24"/>
          <w:szCs w:val="24"/>
          <w:highlight w:val="none"/>
          <w:lang w:val="ru-RU" w:eastAsia="en-US"/>
        </w:rPr>
        <w:t xml:space="preserve"> – материалы (запасные части), которые будут являться составной частью Результата Работ по Договору, подлежащие приемке Подрядчиком от Заказчика для выполнения Работ по Договору </w:t>
      </w:r>
      <w:r>
        <w:rPr>
          <w:b w:val="0"/>
          <w:sz w:val="24"/>
          <w:szCs w:val="24"/>
          <w:highlight w:val="none"/>
          <w:lang w:val="ru-RU" w:eastAsia="en-US"/>
        </w:rPr>
        <w:t xml:space="preserve">без оплаты стоимости таких материалов (запасных частей), с обязательством их использования при выполнении Работ и полного возврата Заказчику неиспользованных остатков. Перечень Давальческих материалов и запасных частей определяется в приложении к Договору.</w:t>
      </w:r>
      <w:r>
        <w:rPr>
          <w:highlight w:val="none"/>
        </w:rPr>
      </w:r>
    </w:p>
    <w:p>
      <w:pPr>
        <w:pStyle w:val="928"/>
        <w:keepNext w:val="false"/>
        <w:widowControl w:val="false"/>
        <w:pBdr/>
        <w:tabs>
          <w:tab w:val="left" w:leader="none" w:pos="567"/>
          <w:tab w:val="clear" w:leader="none" w:pos="709"/>
        </w:tabs>
        <w:spacing w:after="0" w:before="0"/>
        <w:ind w:right="0" w:firstLine="567" w:left="0"/>
        <w:jc w:val="both"/>
        <w:rPr>
          <w:highlight w:val="none"/>
          <w:shd w:val="clear" w:color="auto" w:fill="ffff00"/>
        </w:rPr>
      </w:pPr>
      <w:r>
        <w:rPr>
          <w:highlight w:val="none"/>
          <w:shd w:val="clear" w:color="auto" w:fill="ffff00"/>
        </w:rPr>
      </w:r>
      <w:r>
        <w:rPr>
          <w:highlight w:val="none"/>
          <w:shd w:val="clear" w:color="auto" w:fill="ffff00"/>
        </w:rPr>
      </w:r>
      <w:r>
        <w:rPr>
          <w:highlight w:val="none"/>
          <w:shd w:val="clear" w:color="auto" w:fill="ffff00"/>
        </w:rPr>
      </w:r>
    </w:p>
    <w:p>
      <w:pPr>
        <w:pStyle w:val="925"/>
        <w:widowControl w:val="false"/>
        <w:pBdr/>
        <w:tabs>
          <w:tab w:val="left" w:leader="none" w:pos="567"/>
          <w:tab w:val="clear" w:leader="none" w:pos="709"/>
        </w:tabs>
        <w:spacing w:after="0" w:before="0" w:line="240" w:lineRule="auto"/>
        <w:ind w:right="0" w:firstLine="567" w:left="0"/>
        <w:jc w:val="both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1024"/>
        <w:numPr>
          <w:ilvl w:val="0"/>
          <w:numId w:val="3"/>
        </w:numPr>
        <w:pBdr/>
        <w:shd w:val="clear" w:color="auto" w:fill="ffffff"/>
        <w:tabs>
          <w:tab w:val="left" w:leader="none" w:pos="284"/>
          <w:tab w:val="clear" w:leader="none" w:pos="709"/>
        </w:tabs>
        <w:spacing w:line="240" w:lineRule="auto"/>
        <w:ind w:right="0" w:firstLine="567" w:left="0"/>
        <w:jc w:val="center"/>
        <w:rPr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Предмет Договора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0" w:name="_Ref361410951"/>
      <w:r>
        <w:rPr>
          <w:bCs/>
          <w:sz w:val="24"/>
          <w:szCs w:val="24"/>
          <w:highlight w:val="none"/>
        </w:rPr>
        <w:t xml:space="preserve">Подрядчик обязуется по заданию Заказчика в соответствии с Техническим заданием (Приложение № 1 к Договору) выполнить работы по </w:t>
      </w:r>
      <w:r>
        <w:rPr>
          <w:bCs/>
          <w:i w:val="0"/>
          <w:iCs w:val="0"/>
          <w:color w:val="000000"/>
          <w:sz w:val="24"/>
          <w:szCs w:val="24"/>
          <w:highlight w:val="none"/>
          <w:shd w:val="clear" w:color="auto" w:fill="auto"/>
        </w:rPr>
        <w:t xml:space="preserve">по изготовлению деталей для ремонта днища баржи МП-314 для нужд АО «Сахаэнерго»</w:t>
      </w:r>
      <w:r>
        <w:rPr>
          <w:bCs/>
          <w:sz w:val="24"/>
          <w:szCs w:val="24"/>
          <w:highlight w:val="none"/>
        </w:rPr>
        <w:t xml:space="preserve"> (далее по тексту – «Работы»), а также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0"/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Объем и состав Работ по Договору определяется Техническим заданием (Приложение № 1 к Договору). Работы по Договору подлежат выполнению Подрядчиком в строгом соответствии с Проектной </w:t>
      </w:r>
      <w:r>
        <w:rPr>
          <w:bCs/>
          <w:sz w:val="24"/>
          <w:szCs w:val="24"/>
          <w:highlight w:val="none"/>
        </w:rPr>
        <w:t xml:space="preserve">и Рабочей</w:t>
      </w:r>
      <w:r>
        <w:rPr>
          <w:bCs/>
          <w:sz w:val="24"/>
          <w:szCs w:val="24"/>
          <w:highlight w:val="none"/>
        </w:rPr>
        <w:t xml:space="preserve"> документацией, требованиями Применимого права и указаниями Заказчика.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Работы по Договору выполняются для нужд </w:t>
      </w:r>
      <w:r>
        <w:rPr>
          <w:bCs/>
          <w:sz w:val="24"/>
          <w:szCs w:val="24"/>
          <w:highlight w:val="none"/>
        </w:rPr>
        <w:t xml:space="preserve">АО «Сахаэнерго»</w:t>
      </w:r>
      <w:r>
        <w:rPr>
          <w:bCs/>
          <w:sz w:val="24"/>
          <w:szCs w:val="24"/>
          <w:highlight w:val="none"/>
        </w:rPr>
        <w:t xml:space="preserve">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Место выполнения Работ: </w:t>
      </w:r>
      <w:r>
        <w:rPr>
          <w:bCs/>
          <w:sz w:val="24"/>
          <w:szCs w:val="24"/>
          <w:highlight w:val="none"/>
        </w:rPr>
        <w:t xml:space="preserve">г. Якутск (пригород)</w:t>
      </w:r>
      <w:r>
        <w:rPr>
          <w:sz w:val="24"/>
          <w:szCs w:val="24"/>
          <w:highlight w:val="none"/>
        </w:rPr>
        <w:t xml:space="preserve">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1" w:name="_Ref361320424"/>
      <w:r>
        <w:rPr>
          <w:bCs/>
          <w:sz w:val="24"/>
          <w:szCs w:val="24"/>
          <w:highlight w:val="none"/>
        </w:rPr>
        <w:t xml:space="preserve">Работы выполняются Подрядчиком в следующие сроки:</w:t>
      </w:r>
      <w:bookmarkEnd w:id="1"/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начало выполнения Работ: </w:t>
      </w:r>
      <w:r>
        <w:rPr>
          <w:sz w:val="24"/>
          <w:szCs w:val="24"/>
          <w:highlight w:val="none"/>
        </w:rPr>
        <w:t xml:space="preserve">с даты, следующей за датой заключения Договора</w:t>
      </w:r>
      <w:r>
        <w:rPr>
          <w:sz w:val="24"/>
          <w:szCs w:val="24"/>
          <w:highlight w:val="none"/>
        </w:rPr>
        <w:t xml:space="preserve">;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окончание выполнения Работ: </w:t>
      </w:r>
      <w:r>
        <w:rPr>
          <w:sz w:val="24"/>
          <w:szCs w:val="24"/>
          <w:highlight w:val="none"/>
        </w:rPr>
        <w:t xml:space="preserve">«30» сентября 2026 г.</w:t>
      </w:r>
      <w:r>
        <w:rPr>
          <w:highlight w:val="none"/>
        </w:rPr>
      </w:r>
    </w:p>
    <w:p>
      <w:pPr>
        <w:pStyle w:val="925"/>
        <w:widowControl w:val="false"/>
        <w:pBdr/>
        <w:shd w:val="clear" w:color="auto" w:fill="ffffff"/>
        <w:spacing w:line="240" w:lineRule="auto"/>
        <w:ind w:right="0" w:firstLine="567" w:left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1024"/>
        <w:numPr>
          <w:ilvl w:val="0"/>
          <w:numId w:val="3"/>
        </w:numPr>
        <w:pBdr/>
        <w:shd w:val="clear" w:color="auto" w:fill="ffffff"/>
        <w:tabs>
          <w:tab w:val="left" w:leader="none" w:pos="284"/>
          <w:tab w:val="clear" w:leader="none" w:pos="709"/>
        </w:tabs>
        <w:spacing/>
        <w:ind w:right="0" w:firstLine="567" w:left="0"/>
        <w:jc w:val="center"/>
        <w:rPr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Права и обязанности Сторон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  <w:u w:val="single"/>
        </w:rPr>
        <w:t xml:space="preserve">Заказчик обязан</w:t>
      </w:r>
      <w:r>
        <w:rPr>
          <w:bCs/>
          <w:sz w:val="24"/>
          <w:szCs w:val="24"/>
          <w:highlight w:val="none"/>
        </w:rPr>
        <w:t xml:space="preserve">: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auto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auto"/>
        <w:tabs>
          <w:tab w:val="left" w:leader="none" w:pos="0"/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Предоставить Подрядчику в порядке, установленном</w:t>
      </w:r>
      <w:r>
        <w:rPr>
          <w:sz w:val="24"/>
          <w:szCs w:val="24"/>
          <w:highlight w:val="none"/>
          <w:shd w:val="clear" w:color="auto" w:fill="auto"/>
        </w:rPr>
        <w:t xml:space="preserve"> </w:t>
      </w:r>
      <w:r>
        <w:rPr>
          <w:sz w:val="24"/>
          <w:szCs w:val="24"/>
          <w:highlight w:val="none"/>
          <w:shd w:val="clear" w:color="auto" w:fill="auto"/>
        </w:rPr>
        <w:t xml:space="preserve">Приложением № 5 </w:t>
      </w:r>
      <w:r>
        <w:rPr>
          <w:sz w:val="24"/>
          <w:szCs w:val="24"/>
          <w:highlight w:val="none"/>
          <w:shd w:val="clear" w:color="auto" w:fill="auto"/>
        </w:rPr>
        <w:t xml:space="preserve">к Договору, необходимые Давальческие материалы и запасные части, перечень которых указан в П</w:t>
      </w:r>
      <w:r>
        <w:rPr>
          <w:sz w:val="24"/>
          <w:szCs w:val="24"/>
          <w:highlight w:val="none"/>
          <w:shd w:val="clear" w:color="auto" w:fill="auto"/>
        </w:rPr>
        <w:t xml:space="preserve">риложении № 4 </w:t>
      </w:r>
      <w:r>
        <w:rPr>
          <w:sz w:val="24"/>
          <w:szCs w:val="24"/>
          <w:highlight w:val="none"/>
        </w:rPr>
        <w:t xml:space="preserve">к Договору</w:t>
      </w:r>
      <w:r>
        <w:rPr>
          <w:sz w:val="24"/>
          <w:szCs w:val="24"/>
          <w:highlight w:val="none"/>
        </w:rPr>
        <w:t xml:space="preserve">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auto"/>
        <w:tabs>
          <w:tab w:val="left" w:leader="none" w:pos="709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Принять и оплатить выполненные Подрядчиком Работы на условиях, по цене и в сроки, предусмотренные Договором.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tabs>
          <w:tab w:val="left" w:leader="none" w:pos="709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Производить освидетельствование (приемку) Скрытых работ.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left" w:leader="none" w:pos="709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Выполнять иные обязанности, предусмотренные Договором.</w:t>
      </w:r>
      <w:r>
        <w:rPr>
          <w:highlight w:val="none"/>
        </w:rPr>
      </w:r>
    </w:p>
    <w:p>
      <w:pPr>
        <w:pStyle w:val="925"/>
        <w:pBdr/>
        <w:tabs>
          <w:tab w:val="left" w:leader="none" w:pos="709"/>
        </w:tabs>
        <w:spacing w:line="240" w:lineRule="auto"/>
        <w:ind w:right="0" w:firstLine="567" w:left="0"/>
        <w:rPr>
          <w:rFonts w:ascii="Times New Roman" w:hAnsi="Times New Roman"/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  <w:u w:val="single"/>
        </w:rPr>
        <w:t xml:space="preserve">Заказчик имеет право</w:t>
      </w:r>
      <w:r>
        <w:rPr>
          <w:bCs/>
          <w:sz w:val="24"/>
          <w:szCs w:val="24"/>
          <w:highlight w:val="none"/>
        </w:rPr>
        <w:t xml:space="preserve">: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Самостоятельно или с привлечением третьих лиц осуществлять контроль, в том числе строительный, и надзор за ходом и качеством выполняемы</w:t>
      </w:r>
      <w:r>
        <w:rPr>
          <w:bCs/>
          <w:sz w:val="24"/>
          <w:szCs w:val="24"/>
          <w:highlight w:val="none"/>
        </w:rPr>
        <w:t xml:space="preserve">х Подрядчиком и Субподрядчиками по Договору Работ, соблюдением сроков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Круглосуточно осуществлять доступ к месту производства Работ, месту (помещению) для складирования Материально-технических ресурсов и оборудования, </w:t>
      </w:r>
      <w:r>
        <w:rPr>
          <w:bCs/>
          <w:sz w:val="24"/>
          <w:szCs w:val="24"/>
          <w:highlight w:val="none"/>
        </w:rPr>
        <w:t xml:space="preserve">Давальческих материалов и запасных частей</w:t>
      </w:r>
      <w:r>
        <w:rPr>
          <w:bCs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и Оборудования </w:t>
      </w:r>
      <w:r>
        <w:rPr>
          <w:bCs/>
          <w:sz w:val="24"/>
          <w:szCs w:val="24"/>
          <w:highlight w:val="none"/>
        </w:rPr>
        <w:t xml:space="preserve">Заказчика.</w:t>
      </w:r>
      <w:r>
        <w:rPr>
          <w:bCs/>
          <w:sz w:val="24"/>
          <w:szCs w:val="24"/>
          <w:highlight w:val="none"/>
        </w:rPr>
        <w:t xml:space="preserve"> В случае предоставления Подрядчику отдельного помещения для складирования Материально-технических ресурсов и оборудования, </w:t>
      </w:r>
      <w:r>
        <w:rPr>
          <w:bCs/>
          <w:sz w:val="24"/>
          <w:szCs w:val="24"/>
          <w:highlight w:val="none"/>
        </w:rPr>
        <w:t xml:space="preserve">Давальческих материалов и запасных частей</w:t>
      </w:r>
      <w:r>
        <w:rPr>
          <w:bCs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и Оборудования Заказчика</w:t>
      </w:r>
      <w:r>
        <w:rPr>
          <w:bCs/>
          <w:sz w:val="24"/>
          <w:szCs w:val="24"/>
          <w:highlight w:val="none"/>
        </w:rPr>
        <w:t xml:space="preserve">, осуществлять осмотр такого помещения по первому требованию и в присутствии представителя Подрядчика.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2" w:name="_Ref361334652"/>
      <w:r>
        <w:rPr>
          <w:bCs/>
          <w:sz w:val="24"/>
          <w:szCs w:val="24"/>
          <w:highlight w:val="none"/>
        </w:rP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</w:t>
      </w:r>
      <w:r>
        <w:rPr>
          <w:bCs/>
          <w:sz w:val="24"/>
          <w:szCs w:val="24"/>
          <w:highlight w:val="none"/>
        </w:rPr>
        <w:t xml:space="preserve"> направления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задания, Проектной, </w:t>
      </w:r>
      <w:r>
        <w:rPr>
          <w:bCs/>
          <w:sz w:val="24"/>
          <w:szCs w:val="24"/>
          <w:highlight w:val="none"/>
        </w:rPr>
        <w:t xml:space="preserve">Рабочей</w:t>
      </w:r>
      <w:r>
        <w:rPr>
          <w:bCs/>
          <w:sz w:val="24"/>
          <w:szCs w:val="24"/>
          <w:highlight w:val="none"/>
        </w:rPr>
        <w:t xml:space="preserve"> и иной документации, Применимого права, до устранения таких нарушени</w:t>
      </w:r>
      <w:r>
        <w:rPr>
          <w:bCs/>
          <w:sz w:val="24"/>
          <w:szCs w:val="24"/>
          <w:highlight w:val="none"/>
        </w:rPr>
        <w:t xml:space="preserve">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</w:t>
      </w:r>
      <w:r>
        <w:rPr>
          <w:bCs/>
          <w:sz w:val="24"/>
          <w:szCs w:val="24"/>
          <w:highlight w:val="none"/>
        </w:rP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2"/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3" w:name="_Ref361319348"/>
      <w:r>
        <w:rPr>
          <w:bCs/>
          <w:sz w:val="24"/>
          <w:szCs w:val="24"/>
          <w:highlight w:val="none"/>
        </w:rPr>
        <w:t xml:space="preserve"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</w:t>
      </w:r>
      <w:r>
        <w:rPr>
          <w:bCs/>
          <w:sz w:val="24"/>
          <w:szCs w:val="24"/>
          <w:highlight w:val="none"/>
        </w:rPr>
        <w:t xml:space="preserve">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3"/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Требовать от Подрядчика представления информации и пояснений о ходе </w:t>
      </w:r>
      <w:r>
        <w:rPr>
          <w:bCs/>
          <w:sz w:val="24"/>
          <w:szCs w:val="24"/>
          <w:highlight w:val="none"/>
        </w:rPr>
        <w:t xml:space="preserve">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  <w:r>
        <w:rPr>
          <w:highlight w:val="none"/>
        </w:rPr>
      </w:r>
    </w:p>
    <w:p>
      <w:pPr>
        <w:pStyle w:val="1024"/>
        <w:numPr>
          <w:ilvl w:val="0"/>
          <w:numId w:val="0"/>
        </w:numPr>
        <w:pBdr/>
        <w:shd w:val="clear" w:color="auto" w:fill="ffffff"/>
        <w:tabs>
          <w:tab w:val="left" w:leader="none" w:pos="567"/>
          <w:tab w:val="clear" w:leader="none" w:pos="709"/>
          <w:tab w:val="left" w:leader="none" w:pos="1418"/>
        </w:tabs>
        <w:spacing/>
        <w:ind w:right="0" w:firstLine="0" w:left="0"/>
        <w:jc w:val="both"/>
        <w:rPr>
          <w:rFonts w:ascii="Times New Roman" w:hAnsi="Times New Roman"/>
          <w:bCs/>
          <w:color w:val="ff0000"/>
          <w:sz w:val="24"/>
          <w:szCs w:val="24"/>
          <w:highlight w:val="none"/>
        </w:rPr>
      </w:pPr>
      <w:r>
        <w:rPr>
          <w:bCs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Cs/>
          <w:color w:val="ff0000"/>
          <w:sz w:val="24"/>
          <w:szCs w:val="24"/>
          <w:highlight w:val="none"/>
        </w:rPr>
      </w:r>
      <w:r>
        <w:rPr>
          <w:rFonts w:ascii="Times New Roman" w:hAnsi="Times New Roman"/>
          <w:bCs/>
          <w:color w:val="ff0000"/>
          <w:sz w:val="24"/>
          <w:szCs w:val="24"/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  <w:u w:val="single"/>
        </w:rPr>
        <w:t xml:space="preserve">Подрядчик обязан</w:t>
      </w:r>
      <w:r>
        <w:rPr>
          <w:bCs/>
          <w:sz w:val="24"/>
          <w:szCs w:val="24"/>
          <w:highlight w:val="none"/>
        </w:rPr>
        <w:t xml:space="preserve">: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Выполнить Работы в объеме, сроки и с качеством, соответствующим требованиям Договора и Применимого права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и сдать их результат Заказчику.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 срок, указанный в пункте 2.1.2 Договора, принять от Заказчика давальческие материалы по акту выполнения Работ по Договору.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При приемке давальческих материалов Заказчика</w:t>
      </w:r>
      <w:r>
        <w:rPr>
          <w:sz w:val="24"/>
          <w:szCs w:val="24"/>
          <w:highlight w:val="none"/>
        </w:rPr>
        <w:t xml:space="preserve">,</w:t>
      </w:r>
      <w:r>
        <w:rPr>
          <w:bCs/>
          <w:sz w:val="24"/>
          <w:szCs w:val="24"/>
          <w:highlight w:val="none"/>
        </w:rPr>
        <w:t xml:space="preserve"> указать в соответствующих актах сдачи-приемки все замечания и недостатки, которые могут повлиять на сроки выполнения Работ или Результат работ.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 случае </w:t>
      </w:r>
      <w:r>
        <w:rPr>
          <w:bCs/>
          <w:sz w:val="24"/>
          <w:szCs w:val="24"/>
          <w:highlight w:val="none"/>
        </w:rPr>
        <w:t xml:space="preserve">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Заказчиком давалч материалы.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До фактического начала выполнения Работ предоставить Заказчику:</w:t>
      </w:r>
      <w:r>
        <w:rPr>
          <w:highlight w:val="none"/>
        </w:rPr>
      </w:r>
    </w:p>
    <w:p>
      <w:pPr>
        <w:pStyle w:val="1024"/>
        <w:numPr>
          <w:ilvl w:val="0"/>
          <w:numId w:val="1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Работ;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Обеспечить наличие допусков, разрешений и лицензий, необходимых для производства Работ.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Подрядчик обязан незамедлительно, но в любом случае не позднее рабочего дня, следующего за днем наступлением соответствующего обс</w:t>
      </w:r>
      <w:r>
        <w:rPr>
          <w:sz w:val="24"/>
          <w:szCs w:val="24"/>
          <w:highlight w:val="none"/>
        </w:rPr>
        <w:t xml:space="preserve">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  <w:sz w:val="24"/>
          <w:szCs w:val="24"/>
          <w:highlight w:val="none"/>
        </w:rPr>
        <w:t xml:space="preserve">, в том числе указанных в Приложении № 3 к Договору</w:t>
      </w:r>
      <w:r>
        <w:rPr>
          <w:sz w:val="24"/>
          <w:szCs w:val="24"/>
          <w:highlight w:val="none"/>
        </w:rPr>
        <w:t xml:space="preserve">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Если в процессе выполнения Работ по Договору законом или иным нормативным правовым актом будет установлена обязанность Подрядч</w:t>
      </w:r>
      <w:r>
        <w:rPr>
          <w:sz w:val="24"/>
          <w:szCs w:val="24"/>
          <w:highlight w:val="none"/>
        </w:rPr>
        <w:t xml:space="preserve">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Во избежание сомнений, принятие соответствующего закона или иного нормативного правового акта не будет рассматриват</w:t>
      </w:r>
      <w:r>
        <w:rPr>
          <w:sz w:val="24"/>
          <w:szCs w:val="24"/>
          <w:highlight w:val="none"/>
        </w:rPr>
        <w:t xml:space="preserve">ься для целей Договора как обстоятельство непреодолимой силы (форс-мажор), указанное в пункте 12.1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Выполнять</w:t>
      </w:r>
      <w:r>
        <w:rPr>
          <w:bCs/>
          <w:sz w:val="24"/>
          <w:szCs w:val="24"/>
          <w:highlight w:val="none"/>
        </w:rPr>
        <w:t xml:space="preserve">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Организовать контроль качества поступающих Материально-технических ресурсов и оборудования, обеспечить наличие соответствующих сертификатов, технических паспортов и других документов, </w:t>
      </w:r>
      <w:r>
        <w:rPr>
          <w:bCs/>
          <w:sz w:val="24"/>
          <w:szCs w:val="24"/>
          <w:highlight w:val="none"/>
        </w:rPr>
        <w:t xml:space="preserve">удостоверяющих качество используемых Подрядчиком в месте производства Работ Материально-технических ресурсов и оборудования. Копии таких сертификатов, технических паспортов и иных документов должны быть предоставлены Заказчику до начала производства Работ.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Подрядчик обязуется письменно согласовать с Заказчиком планируемые к использованию Материально-технические ресурсы и оборудование до начала производства Работ в случае, если они не соответствуют условиям Договора.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Обесп</w:t>
      </w:r>
      <w:r>
        <w:rPr>
          <w:bCs/>
          <w:sz w:val="24"/>
          <w:szCs w:val="24"/>
          <w:highlight w:val="none"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rPr>
          <w:bCs/>
          <w:sz w:val="24"/>
          <w:szCs w:val="24"/>
          <w:highlight w:val="none"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</w:t>
      </w:r>
      <w:r>
        <w:rPr>
          <w:bCs/>
          <w:sz w:val="24"/>
          <w:szCs w:val="24"/>
          <w:highlight w:val="none"/>
        </w:rPr>
        <w:t xml:space="preserve">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Предоставить Заказчику в полном объеме необходимую для приемки Работ приемо-сдаточную и исполнительную документацию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в 3 (трех) экземплярах.</w:t>
      </w:r>
      <w:r>
        <w:rPr>
          <w:highlight w:val="none"/>
        </w:rPr>
      </w:r>
    </w:p>
    <w:p>
      <w:pPr>
        <w:pStyle w:val="1024"/>
        <w:pBdr/>
        <w:shd w:val="clear" w:color="auto" w:fill="ffffff"/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Исполнительная документация должна обеспечивать достоверность и полноту сведений о фактически выполненных Работах.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Выполнять полученные в ходе исполнения Договора указания Заказчика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если такие указания не противоречат условиям Договора и не представляют собой вмешательства в деятельность Подрядчика.</w:t>
      </w:r>
      <w:r>
        <w:rPr>
          <w:highlight w:val="none"/>
        </w:rPr>
      </w:r>
    </w:p>
    <w:p>
      <w:pPr>
        <w:pStyle w:val="925"/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right="0" w:firstLine="567" w:left="0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 случае, если такие указания могут привести к увеличению Цены Договора, Подрядчик</w:t>
      </w:r>
      <w:r>
        <w:rPr>
          <w:bCs/>
          <w:sz w:val="24"/>
          <w:szCs w:val="24"/>
          <w:highlight w:val="none"/>
        </w:rPr>
        <w:t xml:space="preserve">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</w:t>
      </w:r>
      <w:r>
        <w:rPr>
          <w:highlight w:val="none"/>
        </w:rPr>
      </w:r>
    </w:p>
    <w:p>
      <w:pPr>
        <w:pStyle w:val="925"/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right="0" w:firstLine="567" w:left="0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Подрядчи</w:t>
      </w:r>
      <w:r>
        <w:rPr>
          <w:bCs/>
          <w:sz w:val="24"/>
          <w:szCs w:val="24"/>
          <w:highlight w:val="none"/>
        </w:rPr>
        <w:t xml:space="preserve">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2.3.12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2.3.12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Письменно известить Заказчика и до получения от него необходимых указаний приостановить Работу при обнаружении:</w:t>
      </w:r>
      <w:r>
        <w:rPr>
          <w:highlight w:val="none"/>
        </w:rPr>
      </w:r>
    </w:p>
    <w:p>
      <w:pPr>
        <w:pStyle w:val="1024"/>
        <w:numPr>
          <w:ilvl w:val="3"/>
          <w:numId w:val="3"/>
        </w:numPr>
        <w:pBdr/>
        <w:shd w:val="clear" w:color="auto" w:fill="ffffff"/>
        <w:tabs>
          <w:tab w:val="clear" w:leader="none" w:pos="709"/>
          <w:tab w:val="left" w:leader="none" w:pos="1701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</w:t>
      </w:r>
      <w:r>
        <w:rPr>
          <w:highlight w:val="none"/>
        </w:rPr>
      </w:r>
    </w:p>
    <w:p>
      <w:pPr>
        <w:pStyle w:val="1024"/>
        <w:numPr>
          <w:ilvl w:val="3"/>
          <w:numId w:val="3"/>
        </w:numPr>
        <w:pBdr/>
        <w:shd w:val="clear" w:color="auto" w:fill="ffffff"/>
        <w:tabs>
          <w:tab w:val="clear" w:leader="none" w:pos="709"/>
          <w:tab w:val="left" w:leader="none" w:pos="1701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отклонения</w:t>
      </w:r>
      <w:r>
        <w:rPr>
          <w:bCs/>
          <w:sz w:val="24"/>
          <w:szCs w:val="24"/>
          <w:highlight w:val="none"/>
        </w:rP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>
        <w:rPr>
          <w:highlight w:val="none"/>
        </w:rPr>
      </w:r>
    </w:p>
    <w:p>
      <w:pPr>
        <w:pStyle w:val="1024"/>
        <w:numPr>
          <w:ilvl w:val="3"/>
          <w:numId w:val="3"/>
        </w:numPr>
        <w:pBdr/>
        <w:shd w:val="clear" w:color="auto" w:fill="ffffff"/>
        <w:tabs>
          <w:tab w:val="clear" w:leader="none" w:pos="709"/>
          <w:tab w:val="left" w:leader="none" w:pos="1701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любых иных обстоятельств, угрожающих годности, </w:t>
      </w:r>
      <w:r>
        <w:rPr>
          <w:bCs/>
          <w:sz w:val="24"/>
          <w:szCs w:val="24"/>
          <w:highlight w:val="none"/>
        </w:rPr>
        <w:t xml:space="preserve">прочности и /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left" w:leader="none" w:pos="567"/>
          <w:tab w:val="clear" w:leader="none" w:pos="709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Невыполнение Подрядчиком требований пункта 2.3.12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Письменно уведомлять</w:t>
      </w:r>
      <w:r>
        <w:rPr>
          <w:sz w:val="24"/>
          <w:szCs w:val="24"/>
          <w:highlight w:val="none"/>
        </w:rP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highlight w:val="none"/>
        </w:rPr>
      </w:r>
    </w:p>
    <w:p>
      <w:pPr>
        <w:pStyle w:val="1024"/>
        <w:numPr>
          <w:ilvl w:val="0"/>
          <w:numId w:val="14"/>
        </w:numPr>
        <w:pBdr/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аварии – в течение 2 (двух) часов;</w:t>
      </w:r>
      <w:r>
        <w:rPr>
          <w:highlight w:val="none"/>
        </w:rPr>
      </w:r>
    </w:p>
    <w:p>
      <w:pPr>
        <w:pStyle w:val="1024"/>
        <w:numPr>
          <w:ilvl w:val="0"/>
          <w:numId w:val="14"/>
        </w:numPr>
        <w:pBdr/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>
        <w:rPr>
          <w:highlight w:val="none"/>
        </w:rPr>
      </w:r>
    </w:p>
    <w:p>
      <w:pPr>
        <w:pStyle w:val="1024"/>
        <w:numPr>
          <w:ilvl w:val="0"/>
          <w:numId w:val="14"/>
        </w:numPr>
        <w:pBdr/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хищении и иных противоправных действиях – в течение 24 (двадцати четырех) часов;</w:t>
      </w:r>
      <w:r>
        <w:rPr>
          <w:highlight w:val="none"/>
        </w:rPr>
      </w:r>
    </w:p>
    <w:p>
      <w:pPr>
        <w:pStyle w:val="1024"/>
        <w:numPr>
          <w:ilvl w:val="0"/>
          <w:numId w:val="14"/>
        </w:numPr>
        <w:pBdr/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>
        <w:rPr>
          <w:highlight w:val="none"/>
        </w:rPr>
      </w:r>
    </w:p>
    <w:p>
      <w:pPr>
        <w:pStyle w:val="1024"/>
        <w:numPr>
          <w:ilvl w:val="0"/>
          <w:numId w:val="14"/>
        </w:numPr>
        <w:pBdr/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>
        <w:rPr>
          <w:highlight w:val="none"/>
        </w:rPr>
      </w:r>
    </w:p>
    <w:p>
      <w:pPr>
        <w:pStyle w:val="1024"/>
        <w:numPr>
          <w:ilvl w:val="0"/>
          <w:numId w:val="14"/>
        </w:numPr>
        <w:pBdr/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иных обстоятельствах, фактах, сообщениях в средствах массовой информации – в течение 24 (двадцати четырех) часов.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Нести риск случайной гибели и случайного повреждения мест (помещений), </w:t>
      </w:r>
      <w:r>
        <w:rPr>
          <w:sz w:val="24"/>
          <w:szCs w:val="24"/>
          <w:highlight w:val="none"/>
        </w:rPr>
        <w:t xml:space="preserve">оборудования и инструмента</w:t>
      </w:r>
      <w:r>
        <w:rPr>
          <w:sz w:val="24"/>
          <w:szCs w:val="24"/>
          <w:highlight w:val="none"/>
        </w:rPr>
        <w:t xml:space="preserve">, принятых от Заказчика в соответствии с пунктом 2.1.2 Договора, до момента их передачи (возврата) Заказчику по соответствующим актам сдачи-приемки (Приложения №№ 2.1, 2</w:t>
      </w:r>
      <w:r>
        <w:rPr>
          <w:sz w:val="24"/>
          <w:szCs w:val="24"/>
          <w:highlight w:val="none"/>
        </w:rPr>
        <w:t xml:space="preserve">.1</w:t>
      </w:r>
      <w:r>
        <w:rPr>
          <w:sz w:val="24"/>
          <w:szCs w:val="24"/>
          <w:highlight w:val="none"/>
        </w:rPr>
        <w:t xml:space="preserve"> к Договору).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По требованию и в сроки, установленные Заказчиком, своими силами, средствами и </w:t>
      </w:r>
      <w:r>
        <w:rPr>
          <w:sz w:val="24"/>
          <w:szCs w:val="24"/>
          <w:highlight w:val="none"/>
        </w:rPr>
        <w:t xml:space="preserve">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Подрядчик обязан незамедлительно приступать к устранению недостатков, о которых ему стало известно.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Письменно уведомлять Заказчика о необходимости проведения освидетельствования и / или приемки Скрытых работ.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Указанное уведомление должно быть получено Заказчиком заблаговременно</w:t>
      </w:r>
      <w:r>
        <w:rPr>
          <w:bCs/>
          <w:sz w:val="24"/>
          <w:szCs w:val="24"/>
          <w:highlight w:val="none"/>
        </w:rPr>
        <w:t xml:space="preserve">, но не позднее, чем за </w:t>
      </w:r>
      <w:r>
        <w:rPr>
          <w:sz w:val="24"/>
          <w:szCs w:val="24"/>
          <w:highlight w:val="none"/>
        </w:rPr>
        <w:t xml:space="preserve">5 (пять)</w:t>
      </w:r>
      <w:r>
        <w:rPr>
          <w:bCs/>
          <w:sz w:val="24"/>
          <w:szCs w:val="24"/>
          <w:highlight w:val="none"/>
        </w:rPr>
        <w:t xml:space="preserve"> рабочих дней до начала освидетельствования. </w:t>
      </w:r>
      <w:r>
        <w:rPr>
          <w:bCs/>
          <w:sz w:val="24"/>
          <w:szCs w:val="24"/>
          <w:highlight w:val="none"/>
        </w:rPr>
        <w:t xml:space="preserve">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</w:t>
      </w:r>
      <w:r>
        <w:rPr>
          <w:bCs/>
          <w:sz w:val="24"/>
          <w:szCs w:val="24"/>
          <w:highlight w:val="none"/>
        </w:rPr>
        <w:t xml:space="preserve">осстановительную работу за свой счет, за исключением случаев, когда освидетельствование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Освободить Заказчика от л</w:t>
      </w:r>
      <w:r>
        <w:rPr>
          <w:bCs/>
          <w:sz w:val="24"/>
          <w:szCs w:val="24"/>
          <w:highlight w:val="none"/>
        </w:rPr>
        <w:t xml:space="preserve">юбой ответственности и выплат по всем претензиям, требованиям и судебным искам, предъявляемым третьими лицами в связи с выполнением Работ, а также возместить любой ущерб и штрафные санкции, связанные с причинением Подрядчиком и / или привлеченными им Субпо</w:t>
      </w:r>
      <w:r>
        <w:rPr>
          <w:bCs/>
          <w:sz w:val="24"/>
          <w:szCs w:val="24"/>
          <w:highlight w:val="none"/>
        </w:rPr>
        <w:t xml:space="preserve">дрядчиками вреда жизни или здоровью людей, имуществу Заказчика или третьих лиц, а также фактам нарушения Подрядчиком и / 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z w:val="24"/>
          <w:szCs w:val="24"/>
          <w:highlight w:val="none"/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sz w:val="24"/>
          <w:szCs w:val="24"/>
          <w:highlight w:val="none"/>
          <w:shd w:val="clear" w:color="auto" w:fill="ffffff"/>
        </w:rP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sz w:val="24"/>
          <w:szCs w:val="24"/>
          <w:highlight w:val="none"/>
          <w:shd w:val="clear" w:color="auto" w:fill="ffffff"/>
        </w:rP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rPr>
          <w:sz w:val="24"/>
          <w:szCs w:val="24"/>
          <w:highlight w:val="none"/>
        </w:rPr>
        <w:t xml:space="preserve">, </w:t>
      </w:r>
      <w:r>
        <w:rPr>
          <w:bCs/>
          <w:sz w:val="24"/>
          <w:szCs w:val="24"/>
          <w:highlight w:val="none"/>
        </w:rPr>
        <w:t xml:space="preserve">без какого-либо ограничения размера такого возмещения.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 случае, когда один или несколько соответствующих рисков были застрахованы Заказчиком или в его пользу, Подрядчик обязан возместить ущерб в пользу Заказчика в части, не подлежащей возмещению по договору (-ам) страхования.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 случае предъявления налоговыми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в том числе поставщиков Материально-технических ресурсов и оборудования, привлеченных Подрядчиком к выполнению Работ по Договору, компенсировать все убытки Заказчика, вызванные такими претензиями и требованиями.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Исполнять иные обязанности, предусмотренные Договором и </w:t>
      </w:r>
      <w:r>
        <w:rPr>
          <w:bCs/>
          <w:sz w:val="24"/>
          <w:szCs w:val="24"/>
          <w:highlight w:val="none"/>
        </w:rPr>
        <w:t xml:space="preserve">законодательством Российской Федерации.</w:t>
      </w:r>
      <w:r>
        <w:rPr>
          <w:highlight w:val="none"/>
        </w:rPr>
      </w:r>
    </w:p>
    <w:p>
      <w:pPr>
        <w:pStyle w:val="925"/>
        <w:pBdr/>
        <w:spacing w:line="240" w:lineRule="auto"/>
        <w:ind w:right="0" w:firstLine="567" w:left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  <w:u w:val="single"/>
        </w:rPr>
        <w:t xml:space="preserve">Подрядчик имеет право</w:t>
      </w:r>
      <w:r>
        <w:rPr>
          <w:bCs/>
          <w:sz w:val="24"/>
          <w:szCs w:val="24"/>
          <w:highlight w:val="none"/>
        </w:rPr>
        <w:t xml:space="preserve">: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Самостоятельно организовать выполнение Работ.</w:t>
      </w:r>
      <w:r>
        <w:rPr>
          <w:highlight w:val="none"/>
        </w:rPr>
      </w:r>
    </w:p>
    <w:p>
      <w:pPr>
        <w:pStyle w:val="1024"/>
        <w:numPr>
          <w:ilvl w:val="0"/>
          <w:numId w:val="0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0" w:left="0"/>
        <w:jc w:val="both"/>
        <w:rPr>
          <w:highlight w:val="none"/>
          <w:shd w:val="clear" w:color="auto" w:fill="ffff00"/>
        </w:rPr>
      </w:pPr>
      <w:r>
        <w:rPr>
          <w:highlight w:val="none"/>
          <w:shd w:val="clear" w:color="auto" w:fill="ffff00"/>
        </w:rPr>
      </w:r>
      <w:r>
        <w:rPr>
          <w:highlight w:val="none"/>
          <w:shd w:val="clear" w:color="auto" w:fill="ffff00"/>
        </w:rPr>
      </w:r>
      <w:r>
        <w:rPr>
          <w:highlight w:val="none"/>
          <w:shd w:val="clear" w:color="auto" w:fill="ffff00"/>
        </w:rPr>
      </w:r>
    </w:p>
    <w:p>
      <w:pPr>
        <w:pStyle w:val="1024"/>
        <w:numPr>
          <w:ilvl w:val="0"/>
          <w:numId w:val="3"/>
        </w:numPr>
        <w:pBdr/>
        <w:shd w:val="clear" w:color="auto" w:fill="ffffff"/>
        <w:tabs>
          <w:tab w:val="left" w:leader="none" w:pos="284"/>
          <w:tab w:val="clear" w:leader="none" w:pos="709"/>
        </w:tabs>
        <w:spacing/>
        <w:ind w:right="0" w:firstLine="567" w:left="0"/>
        <w:jc w:val="center"/>
        <w:rPr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Цена Договора и порядок расчетов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4" w:name="_Ref361335465"/>
      <w:r>
        <w:rPr>
          <w:highlight w:val="none"/>
        </w:rPr>
      </w:r>
      <w:bookmarkEnd w:id="4"/>
      <w:r>
        <w:rPr>
          <w:bCs/>
          <w:sz w:val="24"/>
          <w:szCs w:val="24"/>
          <w:highlight w:val="none"/>
        </w:rPr>
        <w:t xml:space="preserve">Цена </w:t>
      </w:r>
      <w:r>
        <w:rPr>
          <w:sz w:val="24"/>
          <w:szCs w:val="24"/>
          <w:highlight w:val="none"/>
        </w:rPr>
        <w:t xml:space="preserve">Договора</w:t>
      </w:r>
      <w:r>
        <w:rPr>
          <w:bCs/>
          <w:sz w:val="24"/>
          <w:szCs w:val="24"/>
          <w:highlight w:val="none"/>
        </w:rPr>
        <w:t xml:space="preserve"> является </w:t>
      </w:r>
      <w:r>
        <w:rPr>
          <w:bCs/>
          <w:sz w:val="24"/>
          <w:szCs w:val="24"/>
          <w:highlight w:val="none"/>
        </w:rPr>
        <w:t xml:space="preserve">твердой</w:t>
      </w:r>
      <w:r>
        <w:rPr>
          <w:bCs/>
          <w:sz w:val="24"/>
          <w:szCs w:val="24"/>
          <w:highlight w:val="none"/>
        </w:rPr>
        <w:t xml:space="preserve"> и составляет </w:t>
      </w:r>
      <w:r>
        <w:rPr>
          <w:sz w:val="24"/>
          <w:szCs w:val="24"/>
          <w:highlight w:val="none"/>
        </w:rPr>
        <w:t xml:space="preserve">_______</w:t>
      </w:r>
      <w:r>
        <w:rPr>
          <w:bCs/>
          <w:sz w:val="24"/>
          <w:szCs w:val="24"/>
          <w:highlight w:val="none"/>
        </w:rPr>
        <w:t xml:space="preserve"> (</w:t>
      </w:r>
      <w:r>
        <w:rPr>
          <w:sz w:val="24"/>
          <w:szCs w:val="24"/>
          <w:highlight w:val="none"/>
        </w:rPr>
        <w:t xml:space="preserve">__________________</w:t>
      </w:r>
      <w:r>
        <w:rPr>
          <w:bCs/>
          <w:sz w:val="24"/>
          <w:szCs w:val="24"/>
          <w:highlight w:val="none"/>
        </w:rPr>
        <w:t xml:space="preserve">)</w:t>
      </w:r>
      <w:r>
        <w:rPr>
          <w:bCs/>
          <w:sz w:val="24"/>
          <w:szCs w:val="24"/>
          <w:highlight w:val="none"/>
        </w:rPr>
        <w:t xml:space="preserve"> рублей </w:t>
      </w:r>
      <w:r>
        <w:rPr>
          <w:sz w:val="24"/>
          <w:szCs w:val="24"/>
          <w:highlight w:val="none"/>
        </w:rPr>
        <w:t xml:space="preserve">___</w:t>
      </w:r>
      <w:r>
        <w:rPr>
          <w:bCs/>
          <w:sz w:val="24"/>
          <w:szCs w:val="24"/>
          <w:highlight w:val="none"/>
        </w:rPr>
        <w:t xml:space="preserve"> копеек без НДС, при этом НДС исчисляется дополнительно по ставке, установленной статьей 164 Налогового кодекса РФ (далее </w:t>
      </w:r>
      <w:r>
        <w:rPr>
          <w:sz w:val="24"/>
          <w:szCs w:val="24"/>
          <w:highlight w:val="none"/>
        </w:rPr>
        <w:t xml:space="preserve">– НК РФ)</w:t>
      </w:r>
      <w:r>
        <w:rPr>
          <w:bCs/>
          <w:sz w:val="24"/>
          <w:szCs w:val="24"/>
          <w:highlight w:val="none"/>
        </w:rPr>
        <w:t xml:space="preserve">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5" w:name="_Ref361335465_Копия_1"/>
      <w:r>
        <w:rPr>
          <w:highlight w:val="none"/>
        </w:rPr>
      </w:r>
      <w:bookmarkEnd w:id="5"/>
      <w:r>
        <w:rPr>
          <w:bCs/>
          <w:sz w:val="24"/>
          <w:szCs w:val="24"/>
          <w:highlight w:val="none"/>
        </w:rPr>
        <w:t xml:space="preserve">Цена Договора включает в себя прибыль Подрядчика, а также все расходы и затраты Подрядчика на: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Монтаж Оборудования Заказчика и пуско-наладочные работы;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Приобретение Материально-технических ресурсов </w:t>
      </w:r>
      <w:r>
        <w:rPr>
          <w:bCs/>
          <w:sz w:val="24"/>
          <w:szCs w:val="24"/>
          <w:highlight w:val="none"/>
        </w:rPr>
        <w:t xml:space="preserve">и оборудования</w:t>
      </w:r>
      <w:r>
        <w:rPr>
          <w:sz w:val="24"/>
          <w:szCs w:val="24"/>
          <w:highlight w:val="none"/>
        </w:rPr>
        <w:t xml:space="preserve">, необходимых для выполнения Работ по Договору, включая стоимость необходимых для эксплуатации Результата работ лицензий;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Заработную плату, накладные и командировочные расходы, перемещение и размещение персонала Подрядчика;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Подлежащие уплате налоги, сборы и пошлины (в том числе по таможенному оформлению Материально-технических ресурсов</w:t>
      </w:r>
      <w:r>
        <w:rPr>
          <w:bCs/>
          <w:sz w:val="24"/>
          <w:szCs w:val="24"/>
          <w:highlight w:val="none"/>
        </w:rPr>
        <w:t xml:space="preserve"> и оборудования</w:t>
      </w:r>
      <w:r>
        <w:rPr>
          <w:sz w:val="24"/>
          <w:szCs w:val="24"/>
          <w:highlight w:val="none"/>
        </w:rPr>
        <w:t xml:space="preserve">, если применимо);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Все прочие затраты и расходы Подрядчика, связанные выполнением Работ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Изменение стоимости Работ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6" w:name="_Ref361858588"/>
      <w:r>
        <w:rPr>
          <w:highlight w:val="none"/>
        </w:rPr>
      </w:r>
      <w:bookmarkStart w:id="7" w:name="_Ref361834675"/>
      <w:r>
        <w:rPr>
          <w:bCs/>
          <w:sz w:val="24"/>
          <w:szCs w:val="24"/>
          <w:highlight w:val="none"/>
        </w:rPr>
        <w:t xml:space="preserve">Оплата по Договору осуществляется Заказчиком в течении 7 (семи) рабочих дней/ 20 (двадцати) </w:t>
      </w:r>
      <w:r>
        <w:rPr>
          <w:bCs/>
          <w:sz w:val="24"/>
          <w:szCs w:val="24"/>
          <w:highlight w:val="none"/>
        </w:rPr>
        <w:t xml:space="preserve">календарных дней</w:t>
      </w:r>
      <w:r>
        <w:rPr>
          <w:bCs/>
          <w:sz w:val="24"/>
          <w:szCs w:val="24"/>
          <w:highlight w:val="none"/>
        </w:rPr>
        <w:t xml:space="preserve"> с даты подписания сторонами документов указанных п. 4.1. Договора</w:t>
      </w:r>
      <w:bookmarkEnd w:id="6"/>
      <w:r>
        <w:rPr>
          <w:highlight w:val="none"/>
        </w:rPr>
      </w:r>
      <w:bookmarkEnd w:id="7"/>
      <w:r>
        <w:rPr>
          <w:bCs/>
          <w:sz w:val="24"/>
          <w:szCs w:val="24"/>
          <w:highlight w:val="none"/>
        </w:rPr>
        <w:t xml:space="preserve">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В случае выставления Подрядчиком счета на сумму менее размера предусмотренного Договором платежа, оплата осуществляется по сумме счета.</w:t>
      </w:r>
      <w:r>
        <w:rPr>
          <w:sz w:val="24"/>
          <w:szCs w:val="24"/>
          <w:highlight w:val="none"/>
        </w:rPr>
        <w:t xml:space="preserve">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фактического</w:t>
      </w:r>
      <w:r>
        <w:rPr>
          <w:sz w:val="24"/>
          <w:szCs w:val="24"/>
          <w:highlight w:val="none"/>
        </w:rPr>
        <w:t xml:space="preserve">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Расчеты по Договору осуществляются в валюте Российской Федерац</w:t>
      </w:r>
      <w:r>
        <w:rPr>
          <w:bCs/>
          <w:sz w:val="24"/>
          <w:szCs w:val="24"/>
          <w:highlight w:val="none"/>
        </w:rPr>
        <w:t xml:space="preserve">ии. Оплата производится Заказчиком 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За исключением случая, указанного в пункте 2.3.17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Индексация Цены Договора не допускается.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8" w:name="_Ref361834251"/>
      <w:r>
        <w:rPr>
          <w:sz w:val="24"/>
          <w:szCs w:val="24"/>
          <w:highlight w:val="none"/>
        </w:rPr>
        <w:t xml:space="preserve">Заказчик вправе произвести сальдо взаимных обязательств Сторон путем</w:t>
      </w:r>
      <w:r>
        <w:rPr>
          <w:sz w:val="24"/>
          <w:szCs w:val="24"/>
          <w:highlight w:val="none"/>
        </w:rPr>
        <w:t xml:space="preserve"> уменьшения сумм причитающихся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Подрядчик</w:t>
      </w:r>
      <w:r>
        <w:rPr>
          <w:sz w:val="24"/>
          <w:szCs w:val="24"/>
          <w:highlight w:val="none"/>
        </w:rPr>
        <w:t xml:space="preserve">а перед Заказчиком, в том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выполненных Подрядчиком Работ.</w:t>
      </w:r>
      <w:bookmarkEnd w:id="8"/>
      <w:r>
        <w:rPr>
          <w:highlight w:val="none"/>
        </w:rPr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Заказчик направляет Подрядчику уведомление о проведении сальдо взаимных обязательств Сторон по Договору.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1024"/>
        <w:numPr>
          <w:ilvl w:val="0"/>
          <w:numId w:val="3"/>
        </w:numPr>
        <w:pBdr/>
        <w:shd w:val="clear" w:color="auto" w:fill="ffffff"/>
        <w:tabs>
          <w:tab w:val="left" w:leader="none" w:pos="284"/>
          <w:tab w:val="clear" w:leader="none" w:pos="709"/>
        </w:tabs>
        <w:spacing/>
        <w:ind w:right="0" w:firstLine="567" w:left="0"/>
        <w:jc w:val="center"/>
        <w:rPr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Порядок сдачи-приемки Работ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9" w:name="_Ref373242517"/>
      <w:r>
        <w:rPr>
          <w:highlight w:val="none"/>
        </w:rPr>
      </w:r>
      <w:bookmarkStart w:id="10" w:name="_Ref361335138"/>
      <w:r>
        <w:rPr>
          <w:highlight w:val="none"/>
        </w:rPr>
      </w:r>
      <w:bookmarkStart w:id="11" w:name="_Ref361336754"/>
      <w:r>
        <w:rPr>
          <w:highlight w:val="none"/>
        </w:rPr>
      </w:r>
      <w:bookmarkEnd w:id="9"/>
      <w:r>
        <w:rPr>
          <w:highlight w:val="none"/>
        </w:rPr>
      </w:r>
      <w:bookmarkEnd w:id="10"/>
      <w:r>
        <w:rPr>
          <w:highlight w:val="none"/>
        </w:rPr>
      </w:r>
      <w:bookmarkEnd w:id="11"/>
      <w:r>
        <w:rPr>
          <w:bCs/>
          <w:sz w:val="24"/>
          <w:szCs w:val="24"/>
          <w:highlight w:val="none"/>
        </w:rPr>
        <w:t xml:space="preserve">По завершении выполнения Работ Подрядчик в течение 5 (пяти) рабочих дней представляет Заказчику подписанный со своей стороны в 2 (двух) экземплярах Акт сдачи-приемки работ по форме Приложения № 2.1. к Договору с приложением результата Проектных работ. 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left" w:leader="none" w:pos="568"/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12" w:name="_Ref373242517_Копия_1"/>
      <w:r>
        <w:rPr>
          <w:highlight w:val="none"/>
        </w:rPr>
      </w:r>
      <w:bookmarkStart w:id="13" w:name="_Ref361335138_Копия_1"/>
      <w:r>
        <w:rPr>
          <w:highlight w:val="none"/>
        </w:rPr>
      </w:r>
      <w:bookmarkStart w:id="14" w:name="_Ref361336754_Копия_1"/>
      <w:r>
        <w:rPr>
          <w:highlight w:val="none"/>
        </w:rPr>
      </w:r>
      <w:bookmarkEnd w:id="12"/>
      <w:r>
        <w:rPr>
          <w:highlight w:val="none"/>
        </w:rPr>
      </w:r>
      <w:bookmarkEnd w:id="13"/>
      <w:r>
        <w:rPr>
          <w:highlight w:val="none"/>
        </w:rPr>
      </w:r>
      <w:bookmarkEnd w:id="14"/>
      <w:r>
        <w:rPr>
          <w:bCs/>
          <w:sz w:val="24"/>
          <w:szCs w:val="24"/>
          <w:highlight w:val="none"/>
        </w:rPr>
        <w:t xml:space="preserve">В течение 15 (пятнадцати) рабочих дней с даты получения полного комплекта документов, указанных в пунктах 4.1-4.3 Договора, Заказчик подписывает и передает Подрядч</w:t>
      </w:r>
      <w:r>
        <w:rPr>
          <w:bCs/>
          <w:sz w:val="24"/>
          <w:szCs w:val="24"/>
          <w:highlight w:val="none"/>
        </w:rPr>
        <w:t xml:space="preserve">ику 1 (один) экземпляр каждого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left" w:leader="none" w:pos="568"/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Устранение указанных недостатков, несоответствий и / или дефектов, выявленных Заказчиком, осущест</w:t>
      </w:r>
      <w:r>
        <w:rPr>
          <w:bCs/>
          <w:sz w:val="24"/>
          <w:szCs w:val="24"/>
          <w:highlight w:val="none"/>
        </w:rPr>
        <w:t xml:space="preserve">вляется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4.1-4.3 Договора.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Если Подрядчик не устранит недостатки, несоответствия и / или дефекты Работ в срок, установленный Заказчиком в соответствии с пунктом 4.4 Договора, Заказчик вправе собственными силами и (или) силами третьих лиц выполнить работы по устранению нед</w:t>
      </w:r>
      <w:r>
        <w:rPr>
          <w:bCs/>
          <w:sz w:val="24"/>
          <w:szCs w:val="24"/>
          <w:highlight w:val="none"/>
        </w:rPr>
        <w:t xml:space="preserve">остатков, выявленных в ходе приемки результатов Работ, с отнесением на Подрядчика соответствующих расходов. Стоимость расходов Заказчика на устранение выявленных недостатков, несоответствий и / или дефектов Работ возмещается из суммы Обеспечительного плате</w:t>
      </w:r>
      <w:r>
        <w:rPr>
          <w:bCs/>
          <w:sz w:val="24"/>
          <w:szCs w:val="24"/>
          <w:highlight w:val="none"/>
        </w:rPr>
        <w:t xml:space="preserve">жа (при его наличии), а в случае, если размер расходов Заказчика превышает размер Обеспечительного платежа,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4"/>
          <w:szCs w:val="24"/>
          <w:highlight w:val="none"/>
          <w:shd w:val="clear" w:color="auto" w:fill="auto"/>
        </w:rPr>
        <w:t xml:space="preserve">Подрядчик обязан представить Заказчику счет-фактуру (УПД), выставленный в сроки и оформленный в порядке, установленном законодательством Российской Федерации.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1024"/>
        <w:pBdr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4"/>
          <w:szCs w:val="24"/>
          <w:highlight w:val="none"/>
          <w:shd w:val="clear" w:color="auto" w:fill="auto"/>
        </w:rPr>
        <w:t xml:space="preserve">В случае нарушения Подрядчиком данного требования он обязан произвести замену счета-фактуры (УПД) в течение 3 (трех) рабочих дней с даты получения соответствующего письменного требования Заказчика.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1024"/>
        <w:pBdr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4"/>
          <w:szCs w:val="24"/>
          <w:highlight w:val="none"/>
          <w:shd w:val="clear" w:color="auto" w:fill="auto"/>
        </w:rPr>
        <w:t xml:space="preserve">В случае непредставления Подрядчиком в течение 5 (пяти) календарных дней с даты получения авансового платежа счета-фактуры (УПД), подтверждающ</w:t>
      </w:r>
      <w:r>
        <w:rPr>
          <w:bCs/>
          <w:sz w:val="24"/>
          <w:szCs w:val="24"/>
          <w:highlight w:val="none"/>
          <w:shd w:val="clear" w:color="auto" w:fill="auto"/>
        </w:rPr>
        <w:t xml:space="preserve">его право Заказчика на вычет НДС, уплаченного дополнительно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соответствующего авансового платежа, взятого без учета НДС.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1024"/>
        <w:numPr>
          <w:ilvl w:val="0"/>
          <w:numId w:val="0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0" w:left="0"/>
        <w:jc w:val="both"/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1024"/>
        <w:numPr>
          <w:ilvl w:val="0"/>
          <w:numId w:val="3"/>
        </w:numPr>
        <w:pBdr/>
        <w:shd w:val="clear" w:color="auto" w:fill="ffffff"/>
        <w:tabs>
          <w:tab w:val="left" w:leader="none" w:pos="284"/>
          <w:tab w:val="clear" w:leader="none" w:pos="709"/>
        </w:tabs>
        <w:spacing/>
        <w:ind w:right="0" w:firstLine="567" w:left="0"/>
        <w:jc w:val="center"/>
        <w:rPr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Право собственности и переход рисков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Право собственности, риск случайной гибели или повреждения результата работ переходит к Заказчику с момента подписания соответствующего Акта приемки работ</w:t>
      </w:r>
      <w:r>
        <w:rPr>
          <w:bCs/>
          <w:sz w:val="24"/>
          <w:szCs w:val="24"/>
          <w:highlight w:val="none"/>
        </w:rPr>
        <w:t xml:space="preserve">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15" w:name="_Ref361405028"/>
      <w:r>
        <w:rPr>
          <w:bCs/>
          <w:sz w:val="24"/>
          <w:szCs w:val="24"/>
          <w:highlight w:val="none"/>
        </w:rPr>
        <w:t xml:space="preserve">Риск случайной гибели или повреждения Результата работ в отношении каждого Объекта, включая Материально-технические ресурсы и оборудовани</w:t>
      </w:r>
      <w:r>
        <w:rPr>
          <w:bCs/>
          <w:sz w:val="24"/>
          <w:szCs w:val="24"/>
          <w:highlight w:val="none"/>
        </w:rPr>
        <w:t xml:space="preserve">е, переходит к Заказчику с момента подписания соответствующего Акта выполне работ. До подписания Сторонами указанного Акта риск случайной гибели или повреждения Результата работ по Объекту и Материально-технических ресурсов и оборудования, несет Подрядчик.</w:t>
      </w:r>
      <w:bookmarkEnd w:id="15"/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Подписание</w:t>
      </w:r>
      <w:r>
        <w:rPr>
          <w:iCs/>
          <w:sz w:val="24"/>
          <w:szCs w:val="24"/>
          <w:highlight w:val="none"/>
        </w:rPr>
        <w:t xml:space="preserve"> Заказчиком </w:t>
      </w:r>
      <w:r>
        <w:rPr>
          <w:bCs/>
          <w:sz w:val="24"/>
          <w:szCs w:val="24"/>
          <w:highlight w:val="none"/>
        </w:rPr>
        <w:t xml:space="preserve">Акта выполненных работ</w:t>
      </w:r>
      <w:r>
        <w:rPr>
          <w:sz w:val="24"/>
          <w:szCs w:val="24"/>
          <w:highlight w:val="none"/>
        </w:rPr>
        <w:t xml:space="preserve"> </w:t>
      </w:r>
      <w:r>
        <w:rPr>
          <w:iCs/>
          <w:sz w:val="24"/>
          <w:szCs w:val="24"/>
          <w:highlight w:val="none"/>
        </w:rPr>
        <w:t xml:space="preserve">означает приемку выполненных Работ и вступление в силу по</w:t>
      </w:r>
      <w:r>
        <w:rPr>
          <w:iCs/>
          <w:sz w:val="24"/>
          <w:szCs w:val="24"/>
          <w:highlight w:val="none"/>
        </w:rPr>
        <w:t xml:space="preserve">ложений Договора, касающихся гарантий качества. Во избежание сомнений, любое иное одобрение, утверждение, согласование или разрешение Заказчика, в том числе приемка Работ, не освобождает Подрядчика от ответственности за Результат работ по Договору в целом.</w:t>
      </w:r>
      <w:r>
        <w:rPr>
          <w:highlight w:val="none"/>
        </w:rPr>
      </w:r>
    </w:p>
    <w:p>
      <w:pPr>
        <w:pStyle w:val="1024"/>
        <w:numPr>
          <w:ilvl w:val="0"/>
          <w:numId w:val="0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0" w:left="0"/>
        <w:jc w:val="both"/>
        <w:rPr>
          <w:highlight w:val="none"/>
          <w:shd w:val="clear" w:color="auto" w:fill="ffff00"/>
        </w:rPr>
      </w:pPr>
      <w:r>
        <w:rPr>
          <w:highlight w:val="none"/>
          <w:shd w:val="clear" w:color="auto" w:fill="ffff00"/>
        </w:rPr>
      </w:r>
      <w:r>
        <w:rPr>
          <w:highlight w:val="none"/>
          <w:shd w:val="clear" w:color="auto" w:fill="ffff00"/>
        </w:rPr>
      </w:r>
      <w:r>
        <w:rPr>
          <w:highlight w:val="none"/>
          <w:shd w:val="clear" w:color="auto" w:fill="ffff00"/>
        </w:rPr>
      </w:r>
    </w:p>
    <w:p>
      <w:pPr>
        <w:pStyle w:val="1024"/>
        <w:numPr>
          <w:ilvl w:val="0"/>
          <w:numId w:val="3"/>
        </w:numPr>
        <w:pBdr/>
        <w:shd w:val="clear" w:color="auto" w:fill="ffffff"/>
        <w:tabs>
          <w:tab w:val="left" w:leader="none" w:pos="284"/>
          <w:tab w:val="clear" w:leader="none" w:pos="709"/>
        </w:tabs>
        <w:spacing/>
        <w:ind w:right="0" w:firstLine="567" w:left="0"/>
        <w:jc w:val="center"/>
        <w:rPr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Ответственность Сторон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</w:t>
      </w:r>
      <w:r>
        <w:rPr>
          <w:bCs/>
          <w:sz w:val="24"/>
          <w:szCs w:val="24"/>
          <w:highlight w:val="none"/>
        </w:rPr>
        <w:t xml:space="preserve">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в Договором прямо не предусмотрено иное.</w:t>
      </w:r>
      <w:r>
        <w:rPr>
          <w:highlight w:val="none"/>
        </w:rPr>
      </w:r>
    </w:p>
    <w:p>
      <w:pPr>
        <w:pStyle w:val="925"/>
        <w:numPr>
          <w:ilvl w:val="1"/>
          <w:numId w:val="3"/>
        </w:numPr>
        <w:pBdr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rPr>
          <w:highlight w:val="none"/>
          <w:shd w:val="clear" w:color="auto" w:fill="auto"/>
        </w:rPr>
      </w:pPr>
      <w:r>
        <w:rPr>
          <w:bCs/>
          <w:sz w:val="24"/>
          <w:szCs w:val="24"/>
          <w:highlight w:val="none"/>
          <w:shd w:val="clear" w:color="auto" w:fill="auto"/>
        </w:rPr>
        <w:t xml:space="preserve">В случае нарушения Заказчиком сроков оплаты, установле</w:t>
      </w:r>
      <w:r>
        <w:rPr>
          <w:bCs/>
          <w:sz w:val="24"/>
          <w:szCs w:val="24"/>
          <w:highlight w:val="none"/>
          <w:shd w:val="clear" w:color="auto" w:fill="auto"/>
        </w:rPr>
        <w:t xml:space="preserve">нных разделом 3 Договора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и одна десятая) процента от несвоевременно оплаченной суммы за каждый день просрочки.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925"/>
        <w:numPr>
          <w:ilvl w:val="1"/>
          <w:numId w:val="3"/>
        </w:numPr>
        <w:pBdr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 случае </w:t>
      </w:r>
      <w:r>
        <w:rPr>
          <w:sz w:val="24"/>
          <w:szCs w:val="24"/>
          <w:highlight w:val="none"/>
        </w:rPr>
        <w:t xml:space="preserve">нарушения Подрядчиком обязательств по выполнению Работ, а также в случае несвоевременного устранения выявленных недостатков Результат работ, Заказчик вправе требовать уплаты Подрядчиком неустойку в размере</w:t>
      </w:r>
      <w:r>
        <w:rPr>
          <w:bCs/>
          <w:sz w:val="24"/>
          <w:szCs w:val="24"/>
          <w:highlight w:val="none"/>
          <w:shd w:val="clear" w:color="auto" w:fill="auto"/>
        </w:rPr>
        <w:t xml:space="preserve"> 0,1 (ноль целых и одна десятая) процента от несвоевременно оплаченной суммы за каждый день просрочки.</w:t>
      </w:r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4"/>
          <w:szCs w:val="24"/>
          <w:highlight w:val="none"/>
          <w:shd w:val="clear" w:color="auto" w:fill="auto"/>
        </w:rPr>
        <w:t xml:space="preserve">Если в результате составления и выставления Подрядчиком счетов-фактур (УПД) с нарушением порядка</w:t>
      </w:r>
      <w:r>
        <w:rPr>
          <w:bCs/>
          <w:sz w:val="24"/>
          <w:szCs w:val="24"/>
          <w:highlight w:val="none"/>
          <w:shd w:val="clear" w:color="auto" w:fill="auto"/>
        </w:rPr>
        <w:t xml:space="preserve">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сумму таких расходов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4"/>
          <w:szCs w:val="24"/>
          <w:highlight w:val="none"/>
          <w:shd w:val="clear" w:color="auto" w:fill="auto"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4"/>
          <w:szCs w:val="24"/>
          <w:highlight w:val="none"/>
          <w:shd w:val="clear" w:color="auto" w:fill="auto"/>
        </w:rPr>
        <w:t xml:space="preserve">Сумма расходов компенсируется Подрядчиком в течение 10 (десяти) рабочих дней с даты получения соответствующего письменного требования Заказчика.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4"/>
          <w:szCs w:val="24"/>
          <w:highlight w:val="none"/>
          <w:shd w:val="clear" w:color="auto" w:fill="auto"/>
        </w:rPr>
        <w:t xml:space="preserve">В случае нарушения Подрядчиком сроков, предусмотренных пунктом 4.5 Договора, Заказчик также имеет право требовать от Подрядчика уплаты штрафа в размере 50 000 (пятидесяти тысяч) рублей за каждый случай нарушения.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Подрядчик несет ответственность перед Заказчиком за причин</w:t>
      </w:r>
      <w:r>
        <w:rPr>
          <w:bCs/>
          <w:sz w:val="24"/>
          <w:szCs w:val="24"/>
          <w:highlight w:val="none"/>
        </w:rPr>
        <w:t xml:space="preserve">енные убытки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Подрядчик несе</w:t>
      </w:r>
      <w:r>
        <w:rPr>
          <w:bCs/>
          <w:sz w:val="24"/>
          <w:szCs w:val="24"/>
          <w:highlight w:val="none"/>
        </w:rPr>
        <w:t xml:space="preserve">т ответственность за сохранность и целевое использование полученных от Заказчика Давальческих материалов и запасных частей, перечень которого указан в Приложении № 4 к Договору, и Оборудования Заказчика, перечень которого указан в Приложении № 5 к Договору</w:t>
      </w:r>
      <w:r>
        <w:rPr>
          <w:bCs/>
          <w:sz w:val="24"/>
          <w:szCs w:val="24"/>
          <w:highlight w:val="none"/>
        </w:rPr>
        <w:t xml:space="preserve">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Учитывая, что для Заказчика надлежащее и своевременное выполнение Подрядчико</w:t>
      </w:r>
      <w:r>
        <w:rPr>
          <w:bCs/>
          <w:sz w:val="24"/>
          <w:szCs w:val="24"/>
          <w:highlight w:val="none"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Определение суммы неустойки, подлежащей уплате, возможно в досудебном</w:t>
      </w:r>
      <w:r>
        <w:rPr>
          <w:bCs/>
          <w:sz w:val="24"/>
          <w:szCs w:val="24"/>
          <w:highlight w:val="none"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highlight w:val="none"/>
        </w:rPr>
      </w:r>
    </w:p>
    <w:p>
      <w:pPr>
        <w:pStyle w:val="925"/>
        <w:pBdr/>
        <w:spacing w:line="240" w:lineRule="auto"/>
        <w:ind w:right="0" w:firstLine="567" w:left="0"/>
        <w:rPr>
          <w:rFonts w:ascii="Times New Roman" w:hAnsi="Times New Roman"/>
          <w:b/>
          <w:color w:val="000000"/>
          <w:sz w:val="24"/>
          <w:szCs w:val="24"/>
          <w:highlight w:val="none"/>
        </w:rPr>
      </w:pPr>
      <w:r>
        <w:rPr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b/>
          <w:color w:val="000000"/>
          <w:sz w:val="24"/>
          <w:szCs w:val="24"/>
          <w:highlight w:val="none"/>
        </w:rPr>
      </w:r>
    </w:p>
    <w:p>
      <w:pPr>
        <w:pStyle w:val="1024"/>
        <w:numPr>
          <w:ilvl w:val="0"/>
          <w:numId w:val="3"/>
        </w:numPr>
        <w:pBdr/>
        <w:shd w:val="clear" w:color="auto" w:fill="ffffff"/>
        <w:tabs>
          <w:tab w:val="left" w:leader="none" w:pos="284"/>
          <w:tab w:val="clear" w:leader="none" w:pos="709"/>
        </w:tabs>
        <w:spacing/>
        <w:ind w:right="0" w:firstLine="567" w:left="0"/>
        <w:jc w:val="center"/>
        <w:rPr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Гарантии качества Результата работ</w:t>
      </w:r>
      <w:r>
        <w:rPr>
          <w:highlight w:val="none"/>
        </w:rPr>
      </w:r>
    </w:p>
    <w:p>
      <w:pPr>
        <w:pStyle w:val="925"/>
        <w:numPr>
          <w:ilvl w:val="1"/>
          <w:numId w:val="3"/>
        </w:numPr>
        <w:pBdr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rPr>
          <w:highlight w:val="none"/>
        </w:rPr>
      </w:pPr>
      <w:r>
        <w:rPr>
          <w:highlight w:val="none"/>
        </w:rPr>
      </w:r>
      <w:bookmarkStart w:id="16" w:name="_Ref361337777"/>
      <w:r>
        <w:rPr>
          <w:sz w:val="24"/>
          <w:szCs w:val="24"/>
          <w:highlight w:val="none"/>
        </w:rPr>
        <w:t xml:space="preserve">Гарантийный</w:t>
      </w:r>
      <w:r>
        <w:rPr>
          <w:bCs/>
          <w:sz w:val="24"/>
          <w:szCs w:val="24"/>
          <w:highlight w:val="none"/>
        </w:rPr>
        <w:t xml:space="preserve"> срок по Договору составляет </w:t>
      </w:r>
      <w:r>
        <w:rPr>
          <w:sz w:val="24"/>
          <w:szCs w:val="24"/>
          <w:highlight w:val="none"/>
        </w:rPr>
        <w:t xml:space="preserve">____ </w:t>
      </w:r>
      <w:r>
        <w:rPr>
          <w:bCs/>
          <w:sz w:val="24"/>
          <w:szCs w:val="24"/>
          <w:highlight w:val="none"/>
        </w:rPr>
        <w:t xml:space="preserve">(____________)</w:t>
      </w:r>
      <w:r>
        <w:rPr>
          <w:sz w:val="24"/>
          <w:szCs w:val="24"/>
          <w:highlight w:val="none"/>
        </w:rPr>
        <w:t xml:space="preserve"> месяцев</w:t>
      </w:r>
      <w:r>
        <w:rPr>
          <w:bCs/>
          <w:sz w:val="24"/>
          <w:szCs w:val="24"/>
          <w:highlight w:val="none"/>
        </w:rPr>
        <w:t xml:space="preserve"> и начинает течь с даты подписания Сторонами А</w:t>
      </w:r>
      <w:r>
        <w:rPr>
          <w:sz w:val="24"/>
          <w:szCs w:val="24"/>
          <w:highlight w:val="none"/>
        </w:rPr>
        <w:t xml:space="preserve">кта выполненных работ</w:t>
      </w:r>
      <w:r>
        <w:rPr>
          <w:bCs/>
          <w:sz w:val="24"/>
          <w:szCs w:val="24"/>
          <w:highlight w:val="none"/>
        </w:rPr>
        <w:t xml:space="preserve"> </w:t>
      </w:r>
      <w:bookmarkEnd w:id="16"/>
      <w:r>
        <w:rPr>
          <w:bCs/>
          <w:sz w:val="24"/>
          <w:szCs w:val="24"/>
          <w:highlight w:val="none"/>
        </w:rPr>
        <w:t xml:space="preserve">либо с даты прекращения (расторжения) Договора</w:t>
      </w:r>
      <w:r>
        <w:rPr>
          <w:bCs/>
          <w:sz w:val="24"/>
          <w:szCs w:val="24"/>
          <w:highlight w:val="none"/>
        </w:rPr>
        <w:t xml:space="preserve">. Гарантийный срок может быть продлен в соответствии с условиями Договора.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left" w:leader="none" w:pos="568"/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Гарантийные обязательства Подрядчика наступают с даты подписания Акта выполненных работ либо даты прекращения (расторжения) Договора (подписания Сторонами соглашения о расторжении Договора, получения любой из Сторон уведомления об отказе от Договора (испо</w:t>
      </w:r>
      <w:r>
        <w:rPr>
          <w:bCs/>
          <w:sz w:val="24"/>
          <w:szCs w:val="24"/>
          <w:highlight w:val="none"/>
        </w:rPr>
        <w:t xml:space="preserve">лнения Договора)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 течение Гарантийного срока Подрядчик гарантирует </w:t>
      </w:r>
      <w:r>
        <w:rPr>
          <w:bCs/>
          <w:sz w:val="24"/>
          <w:szCs w:val="24"/>
          <w:highlight w:val="none"/>
        </w:rPr>
        <w:t xml:space="preserve">сохранение Гарантированных показателей,</w:t>
      </w:r>
      <w:r>
        <w:rPr>
          <w:bCs/>
          <w:sz w:val="24"/>
          <w:szCs w:val="24"/>
          <w:highlight w:val="none"/>
        </w:rPr>
        <w:t xml:space="preserve"> возможность эксплуатации Результата работ в соответствии с его целевым назначением, а также несет безусловную ответственность за обнаруженные Заказ</w:t>
      </w:r>
      <w:r>
        <w:rPr>
          <w:bCs/>
          <w:sz w:val="24"/>
          <w:szCs w:val="24"/>
          <w:highlight w:val="none"/>
        </w:rPr>
        <w:t xml:space="preserve">чиком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17" w:name="_Ref361337764"/>
      <w:r>
        <w:rPr>
          <w:bCs/>
          <w:sz w:val="24"/>
          <w:szCs w:val="24"/>
          <w:highlight w:val="none"/>
        </w:rPr>
        <w:t xml:space="preserve"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</w:t>
      </w:r>
      <w:r>
        <w:rPr>
          <w:bCs/>
          <w:sz w:val="24"/>
          <w:szCs w:val="24"/>
          <w:highlight w:val="none"/>
        </w:rPr>
        <w:t xml:space="preserve">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17"/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Наличие и полный перечень недостатков,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несоотв</w:t>
      </w:r>
      <w:r>
        <w:rPr>
          <w:bCs/>
          <w:sz w:val="24"/>
          <w:szCs w:val="24"/>
          <w:highlight w:val="none"/>
        </w:rPr>
        <w:t xml:space="preserve">етствий и / 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</w:t>
      </w:r>
      <w:r>
        <w:rPr>
          <w:bCs/>
          <w:sz w:val="24"/>
          <w:szCs w:val="24"/>
          <w:highlight w:val="none"/>
        </w:rPr>
        <w:t xml:space="preserve">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</w:t>
      </w:r>
      <w:r>
        <w:rPr>
          <w:bCs/>
          <w:sz w:val="24"/>
          <w:szCs w:val="24"/>
          <w:highlight w:val="none"/>
        </w:rP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Подрядчик обязан своими силами и за свой счет устранить недостатки,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несоответствия и / или дефекты результата Работ/Оборудования, обнаруженные Заказчиком в течение Гарантийного срока, в срок, указанный Заказчиком в </w:t>
      </w:r>
      <w:bookmarkStart w:id="18" w:name="OLE_LINK5"/>
      <w:r>
        <w:rPr>
          <w:highlight w:val="none"/>
        </w:rPr>
      </w:r>
      <w:bookmarkStart w:id="19" w:name="OLE_LINK6"/>
      <w:r>
        <w:rPr>
          <w:bCs/>
          <w:sz w:val="24"/>
          <w:szCs w:val="24"/>
          <w:highlight w:val="none"/>
        </w:rPr>
        <w:t xml:space="preserve">Акте о недостатках, составленном в порядке, установ</w:t>
      </w:r>
      <w:r>
        <w:rPr>
          <w:bCs/>
          <w:sz w:val="24"/>
          <w:szCs w:val="24"/>
          <w:highlight w:val="none"/>
        </w:rPr>
        <w:t xml:space="preserve">ленном пунктом 7.5 Договора</w:t>
      </w:r>
      <w:bookmarkEnd w:id="18"/>
      <w:r>
        <w:rPr>
          <w:highlight w:val="none"/>
        </w:rPr>
      </w:r>
      <w:bookmarkEnd w:id="19"/>
      <w:r>
        <w:rPr>
          <w:bCs/>
          <w:sz w:val="24"/>
          <w:szCs w:val="24"/>
          <w:highlight w:val="none"/>
        </w:rPr>
        <w:t xml:space="preserve">.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Устранение недостатков, несоответствий и/или дефектов результата Работ/Оборудования путем ремонта результата Работ/Оборудования может осуществляться только по письменному согласованию с Заказчиком.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При устранении недостатков, несоответствий и/или дефектов результата Работ/Оборудования путем его  ремонта или путем замены результата Работа/Оборудования расход</w:t>
      </w:r>
      <w:r>
        <w:rPr>
          <w:bCs/>
          <w:sz w:val="24"/>
          <w:szCs w:val="24"/>
          <w:highlight w:val="none"/>
        </w:rPr>
        <w:t xml:space="preserve">ы по перевозке результата Работ/Оборудования из места его эксплуатации и обратно относятся на Подрядчика/возмещаются Подрядчиком. Местом эксплуатации результата Работ/Оборудования является ДЭС (дизельная электростанция) соответствующего филиала Заказчика. 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Подрядчик вправе по согласованию с Заказчиком вместо замены или ремонта результата Работ/Оборудования возвратить Заказчику его стоимость.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Если Подрядчик не устранит недостатки в установленный срок, Заказчик вправе собственными силами и / или силами третьих лиц выполнить необходимые работы по устранению недостатков Результата работ, с отнесением на Подрядчика соотв</w:t>
      </w:r>
      <w:r>
        <w:rPr>
          <w:bCs/>
          <w:sz w:val="24"/>
          <w:szCs w:val="24"/>
          <w:highlight w:val="none"/>
        </w:rPr>
        <w:t xml:space="preserve">етствующих расходов. Подрядчик обязан возместить стоимость расходов Заказчика на устранение недостатков, несоответствий и / или дефектов Результата работ в течение 10 (десяти) рабочих дней с даты получения соответствующего письменного требования Заказчика.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Гарантийный срок на Результат работ увеличивается на тот период времени, в течение которого Заказч</w:t>
      </w:r>
      <w:r>
        <w:rPr>
          <w:bCs/>
          <w:sz w:val="24"/>
          <w:szCs w:val="24"/>
          <w:highlight w:val="none"/>
        </w:rPr>
        <w:t xml:space="preserve">ик не мог эксплуатировать Результат работ в целом или его часть вследствие указанных в настоящем разделе 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</w:t>
      </w:r>
      <w:r>
        <w:rPr>
          <w:bCs/>
          <w:sz w:val="24"/>
          <w:szCs w:val="24"/>
          <w:highlight w:val="none"/>
        </w:rPr>
        <w:t xml:space="preserve">те 7.1 Договора, </w:t>
      </w:r>
      <w:r>
        <w:rPr>
          <w:bCs/>
          <w:sz w:val="24"/>
          <w:szCs w:val="24"/>
          <w:highlight w:val="none"/>
        </w:rPr>
        <w:t xml:space="preserve">и начинает исчисляться заново с даты приемки Заказчиком работ по устранению недостатков.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Устранение недостатк</w:t>
      </w:r>
      <w:r>
        <w:rPr>
          <w:bCs/>
          <w:sz w:val="24"/>
          <w:szCs w:val="24"/>
          <w:highlight w:val="none"/>
        </w:rPr>
        <w:t xml:space="preserve">ов, несоответствий и / 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</w:t>
      </w:r>
      <w:r>
        <w:rPr>
          <w:highlight w:val="none"/>
        </w:rPr>
      </w:r>
    </w:p>
    <w:p>
      <w:pPr>
        <w:pStyle w:val="925"/>
        <w:pBdr/>
        <w:shd w:val="clear" w:color="auto" w:fill="ffffff"/>
        <w:tabs>
          <w:tab w:val="left" w:leader="none" w:pos="566"/>
          <w:tab w:val="clear" w:leader="none" w:pos="709"/>
        </w:tabs>
        <w:spacing w:line="240" w:lineRule="auto"/>
        <w:ind w:right="0" w:firstLine="567" w:left="0"/>
        <w:rPr>
          <w:rFonts w:ascii="Times New Roman" w:hAnsi="Times New Roman"/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color w:val="000000"/>
          <w:sz w:val="24"/>
          <w:szCs w:val="24"/>
          <w:highlight w:val="none"/>
        </w:rPr>
      </w:r>
    </w:p>
    <w:p>
      <w:pPr>
        <w:pStyle w:val="1024"/>
        <w:numPr>
          <w:ilvl w:val="0"/>
          <w:numId w:val="3"/>
        </w:numPr>
        <w:pBdr/>
        <w:shd w:val="clear" w:color="auto" w:fill="ffffff"/>
        <w:tabs>
          <w:tab w:val="left" w:leader="none" w:pos="426"/>
          <w:tab w:val="clear" w:leader="none" w:pos="709"/>
        </w:tabs>
        <w:spacing/>
        <w:ind w:right="0" w:firstLine="567" w:left="0"/>
        <w:jc w:val="center"/>
        <w:rPr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Исключительные права и патенты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 состав Результата раб</w:t>
      </w:r>
      <w:r>
        <w:rPr>
          <w:bCs/>
          <w:sz w:val="24"/>
          <w:szCs w:val="24"/>
          <w:highlight w:val="none"/>
        </w:rPr>
        <w:t xml:space="preserve">от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эксплуатации, его технического обслуживания и ремонта, а также реконструкции и / или модернизации.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 случае, если Заказчику будут предъявлены требования, связанные с нарушением </w:t>
      </w:r>
      <w:r>
        <w:rPr>
          <w:bCs/>
          <w:sz w:val="24"/>
          <w:szCs w:val="24"/>
          <w:highlight w:val="none"/>
        </w:rPr>
        <w:t xml:space="preserve">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  <w:sz w:val="24"/>
          <w:szCs w:val="24"/>
          <w:highlight w:val="none"/>
        </w:rPr>
        <w:t xml:space="preserve">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</w:t>
      </w:r>
      <w:r>
        <w:rPr>
          <w:bCs/>
          <w:sz w:val="24"/>
          <w:szCs w:val="24"/>
          <w:highlight w:val="none"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интеллектуальной деятельности на срок, не меньше срока эксплуатации Результата работ, и в том объеме (пределах), который требуется для эксплуатации,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технического обслуживания и ремонта, а также реконструкции и / или модернизации Результата работ. При этом Стороны признают, что плата за использование прав на результаты интеллектуальной деятельности входит в Цену Договора.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bCs/>
          <w:sz w:val="24"/>
          <w:szCs w:val="24"/>
          <w:highlight w:val="none"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Переход прав на исключительные права (за иск</w:t>
      </w:r>
      <w:r>
        <w:rPr>
          <w:bCs/>
          <w:sz w:val="24"/>
          <w:szCs w:val="24"/>
          <w:highlight w:val="none"/>
        </w:rPr>
        <w:t xml:space="preserve">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выполннеы работ.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1024"/>
        <w:numPr>
          <w:ilvl w:val="0"/>
          <w:numId w:val="3"/>
        </w:numPr>
        <w:pBdr/>
        <w:shd w:val="clear" w:color="auto" w:fill="ffffff"/>
        <w:tabs>
          <w:tab w:val="left" w:leader="none" w:pos="426"/>
          <w:tab w:val="clear" w:leader="none" w:pos="709"/>
        </w:tabs>
        <w:spacing/>
        <w:ind w:right="0" w:firstLine="567" w:left="0"/>
        <w:jc w:val="center"/>
        <w:rPr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Конфиденциальность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</w:t>
      </w:r>
      <w:r>
        <w:rPr>
          <w:bCs/>
          <w:sz w:val="24"/>
          <w:szCs w:val="24"/>
          <w:highlight w:val="none"/>
        </w:rPr>
        <w:t xml:space="preserve">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highlight w:val="none"/>
        </w:rPr>
      </w:r>
    </w:p>
    <w:p>
      <w:pPr>
        <w:pStyle w:val="925"/>
        <w:numPr>
          <w:ilvl w:val="0"/>
          <w:numId w:val="5"/>
        </w:numPr>
        <w:pBdr/>
        <w:tabs>
          <w:tab w:val="left" w:leader="none" w:pos="709"/>
          <w:tab w:val="left" w:leader="none" w:pos="1418"/>
        </w:tabs>
        <w:spacing w:line="240" w:lineRule="auto"/>
        <w:ind w:right="0" w:firstLine="567" w:left="0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  <w:highlight w:val="none"/>
        </w:rPr>
        <w:t xml:space="preserve">м, в том числе по причине </w:t>
      </w:r>
      <w:r>
        <w:rPr>
          <w:bCs/>
          <w:sz w:val="24"/>
          <w:szCs w:val="24"/>
          <w:highlight w:val="none"/>
        </w:rPr>
        <w:t xml:space="preserve">введения в отношении нее режима Коммерческой тайны;</w:t>
      </w:r>
      <w:r>
        <w:rPr>
          <w:highlight w:val="none"/>
        </w:rPr>
      </w:r>
    </w:p>
    <w:p>
      <w:pPr>
        <w:pStyle w:val="925"/>
        <w:numPr>
          <w:ilvl w:val="0"/>
          <w:numId w:val="5"/>
        </w:numPr>
        <w:pBdr/>
        <w:tabs>
          <w:tab w:val="left" w:leader="none" w:pos="709"/>
          <w:tab w:val="left" w:leader="none" w:pos="1418"/>
        </w:tabs>
        <w:spacing w:line="240" w:lineRule="auto"/>
        <w:ind w:right="0" w:firstLine="567" w:left="0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Информация может включать в себя, в том числе, но не ограничиваясь:</w:t>
      </w:r>
      <w:r>
        <w:rPr>
          <w:highlight w:val="none"/>
        </w:rPr>
      </w:r>
    </w:p>
    <w:p>
      <w:pPr>
        <w:pStyle w:val="925"/>
        <w:numPr>
          <w:ilvl w:val="0"/>
          <w:numId w:val="5"/>
        </w:numPr>
        <w:pBdr/>
        <w:tabs>
          <w:tab w:val="clear" w:leader="none" w:pos="709"/>
          <w:tab w:val="left" w:leader="none" w:pos="1418"/>
        </w:tabs>
        <w:spacing w:line="240" w:lineRule="auto"/>
        <w:ind w:right="0" w:firstLine="567" w:left="0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финансовую </w:t>
      </w:r>
      <w:r>
        <w:rPr>
          <w:bCs/>
          <w:sz w:val="24"/>
          <w:szCs w:val="24"/>
          <w:highlight w:val="none"/>
          <w:lang w:val="en-US"/>
        </w:rPr>
        <w:t xml:space="preserve">(</w:t>
      </w:r>
      <w:r>
        <w:rPr>
          <w:bCs/>
          <w:sz w:val="24"/>
          <w:szCs w:val="24"/>
          <w:highlight w:val="none"/>
        </w:rPr>
        <w:t xml:space="preserve">бухгалтерскую) отчетность;</w:t>
      </w:r>
      <w:r>
        <w:rPr>
          <w:highlight w:val="none"/>
        </w:rPr>
      </w:r>
    </w:p>
    <w:p>
      <w:pPr>
        <w:pStyle w:val="925"/>
        <w:numPr>
          <w:ilvl w:val="0"/>
          <w:numId w:val="5"/>
        </w:numPr>
        <w:pBdr/>
        <w:tabs>
          <w:tab w:val="clear" w:leader="none" w:pos="709"/>
          <w:tab w:val="left" w:leader="none" w:pos="1418"/>
        </w:tabs>
        <w:spacing w:line="240" w:lineRule="auto"/>
        <w:ind w:right="0" w:firstLine="567" w:left="0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учетные регистры бухгалтерского учета;</w:t>
      </w:r>
      <w:r>
        <w:rPr>
          <w:highlight w:val="none"/>
        </w:rPr>
      </w:r>
    </w:p>
    <w:p>
      <w:pPr>
        <w:pStyle w:val="925"/>
        <w:numPr>
          <w:ilvl w:val="0"/>
          <w:numId w:val="5"/>
        </w:numPr>
        <w:pBdr/>
        <w:tabs>
          <w:tab w:val="clear" w:leader="none" w:pos="709"/>
          <w:tab w:val="left" w:leader="none" w:pos="1418"/>
        </w:tabs>
        <w:spacing w:line="240" w:lineRule="auto"/>
        <w:ind w:right="0" w:firstLine="567" w:left="0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бизнес-планы;</w:t>
      </w:r>
      <w:r>
        <w:rPr>
          <w:highlight w:val="none"/>
        </w:rPr>
      </w:r>
    </w:p>
    <w:p>
      <w:pPr>
        <w:pStyle w:val="925"/>
        <w:numPr>
          <w:ilvl w:val="0"/>
          <w:numId w:val="5"/>
        </w:numPr>
        <w:pBdr/>
        <w:tabs>
          <w:tab w:val="clear" w:leader="none" w:pos="709"/>
          <w:tab w:val="left" w:leader="none" w:pos="1418"/>
        </w:tabs>
        <w:spacing w:line="240" w:lineRule="auto"/>
        <w:ind w:right="0" w:firstLine="567" w:left="0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highlight w:val="none"/>
        </w:rPr>
      </w:r>
    </w:p>
    <w:p>
      <w:pPr>
        <w:pStyle w:val="925"/>
        <w:numPr>
          <w:ilvl w:val="0"/>
          <w:numId w:val="5"/>
        </w:numPr>
        <w:pBdr/>
        <w:tabs>
          <w:tab w:val="clear" w:leader="none" w:pos="709"/>
          <w:tab w:val="left" w:leader="none" w:pos="1418"/>
        </w:tabs>
        <w:spacing w:line="240" w:lineRule="auto"/>
        <w:ind w:right="0" w:firstLine="567" w:left="0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highlight w:val="none"/>
        </w:rPr>
      </w:r>
    </w:p>
    <w:p>
      <w:pPr>
        <w:pStyle w:val="925"/>
        <w:numPr>
          <w:ilvl w:val="0"/>
          <w:numId w:val="5"/>
        </w:numPr>
        <w:pBdr/>
        <w:tabs>
          <w:tab w:val="clear" w:leader="none" w:pos="709"/>
          <w:tab w:val="left" w:leader="none" w:pos="1418"/>
        </w:tabs>
        <w:spacing w:line="240" w:lineRule="auto"/>
        <w:ind w:right="0" w:firstLine="567" w:left="0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highlight w:val="none"/>
        </w:rPr>
      </w:r>
    </w:p>
    <w:p>
      <w:pPr>
        <w:pStyle w:val="925"/>
        <w:numPr>
          <w:ilvl w:val="0"/>
          <w:numId w:val="5"/>
        </w:numPr>
        <w:pBdr/>
        <w:tabs>
          <w:tab w:val="clear" w:leader="none" w:pos="709"/>
          <w:tab w:val="left" w:leader="none" w:pos="1418"/>
        </w:tabs>
        <w:spacing w:line="240" w:lineRule="auto"/>
        <w:ind w:right="0" w:firstLine="567" w:left="0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сведения о подрядчиках, поставщиках оборудования и материалов, а также о покупателях продукции Заказчика и их аффилированных лицах;</w:t>
      </w:r>
      <w:r>
        <w:rPr>
          <w:highlight w:val="none"/>
        </w:rPr>
      </w:r>
    </w:p>
    <w:p>
      <w:pPr>
        <w:pStyle w:val="925"/>
        <w:numPr>
          <w:ilvl w:val="0"/>
          <w:numId w:val="5"/>
        </w:numPr>
        <w:pBdr/>
        <w:tabs>
          <w:tab w:val="clear" w:leader="none" w:pos="709"/>
          <w:tab w:val="left" w:leader="none" w:pos="1418"/>
        </w:tabs>
        <w:spacing w:line="240" w:lineRule="auto"/>
        <w:ind w:right="0" w:firstLine="567" w:left="0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highlight w:val="none"/>
        </w:rPr>
      </w:r>
    </w:p>
    <w:p>
      <w:pPr>
        <w:pStyle w:val="925"/>
        <w:numPr>
          <w:ilvl w:val="0"/>
          <w:numId w:val="5"/>
        </w:numPr>
        <w:pBdr/>
        <w:tabs>
          <w:tab w:val="clear" w:leader="none" w:pos="709"/>
          <w:tab w:val="left" w:leader="none" w:pos="1418"/>
        </w:tabs>
        <w:spacing w:line="240" w:lineRule="auto"/>
        <w:ind w:right="0" w:firstLine="567" w:left="0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20" w:name="_Ref361337849"/>
      <w:r>
        <w:rPr>
          <w:bCs/>
          <w:sz w:val="24"/>
          <w:szCs w:val="24"/>
          <w:highlight w:val="none"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(расторжения) или исполнения, в том числе:</w:t>
      </w:r>
      <w:bookmarkEnd w:id="20"/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701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не разглашать, не обсуждать содержание, 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Заказчика;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701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принимать меры предосторожности, обычно используемые для защиты такого рода информации в деловом обороте, при этом если Подр</w:t>
      </w:r>
      <w:r>
        <w:rPr>
          <w:bCs/>
          <w:sz w:val="24"/>
          <w:szCs w:val="24"/>
          <w:highlight w:val="none"/>
        </w:rPr>
        <w:t xml:space="preserve">ядчиком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701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использовать Информацию исключительно для целей, для которых она была предоставлена;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701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701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 случае возникновения угро</w:t>
      </w:r>
      <w:r>
        <w:rPr>
          <w:bCs/>
          <w:sz w:val="24"/>
          <w:szCs w:val="24"/>
          <w:highlight w:val="none"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701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</w:t>
      </w:r>
      <w:r>
        <w:rPr>
          <w:bCs/>
          <w:sz w:val="24"/>
          <w:szCs w:val="24"/>
          <w:highlight w:val="none"/>
        </w:rPr>
        <w:t xml:space="preserve">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701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21" w:name="_Ref361337832"/>
      <w:r>
        <w:rPr>
          <w:bCs/>
          <w:sz w:val="24"/>
          <w:szCs w:val="24"/>
          <w:highlight w:val="none"/>
        </w:rPr>
        <w:t xml:space="preserve">р</w:t>
      </w:r>
      <w:r>
        <w:rPr>
          <w:bCs/>
          <w:sz w:val="24"/>
          <w:szCs w:val="24"/>
          <w:highlight w:val="none"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1"/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701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не разглашать третьим лицам факты передачи или получения Информации.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22" w:name="_Ref361337863"/>
      <w:r>
        <w:rPr>
          <w:bCs/>
          <w:sz w:val="24"/>
          <w:szCs w:val="24"/>
          <w:highlight w:val="none"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2"/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left" w:leader="none" w:pos="284"/>
          <w:tab w:val="clear" w:leader="none" w:pos="709"/>
        </w:tabs>
        <w:spacing/>
        <w:ind w:right="0" w:firstLine="567" w:left="0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</w:p>
    <w:p>
      <w:pPr>
        <w:pStyle w:val="1024"/>
        <w:numPr>
          <w:ilvl w:val="0"/>
          <w:numId w:val="3"/>
        </w:numPr>
        <w:pBdr/>
        <w:shd w:val="clear" w:color="auto" w:fill="ffffff"/>
        <w:tabs>
          <w:tab w:val="left" w:leader="none" w:pos="426"/>
          <w:tab w:val="clear" w:leader="none" w:pos="709"/>
        </w:tabs>
        <w:spacing/>
        <w:ind w:right="0" w:firstLine="567" w:left="0"/>
        <w:jc w:val="center"/>
        <w:rPr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Разрешение споров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Споры, указанные в пункте</w:t>
      </w:r>
      <w:r>
        <w:rPr>
          <w:bCs/>
          <w:sz w:val="24"/>
          <w:szCs w:val="24"/>
          <w:highlight w:val="none"/>
        </w:rPr>
        <w:t xml:space="preserve"> 10.1 Д</w:t>
      </w:r>
      <w:r>
        <w:rPr>
          <w:bCs/>
          <w:sz w:val="24"/>
          <w:szCs w:val="24"/>
          <w:highlight w:val="none"/>
        </w:rPr>
        <w:t xml:space="preserve">оговора, которые не были урегулированы Сторонами путем переговоров, подлежат разрешению в Арбитражном суде Республики Саха (Якутия) в соответствии с законодательством Российской Федерации.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Сторонами применяе</w:t>
      </w:r>
      <w:r>
        <w:rPr>
          <w:bCs/>
          <w:sz w:val="24"/>
          <w:szCs w:val="24"/>
          <w:highlight w:val="none"/>
        </w:rPr>
        <w:t xml:space="preserve">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</w:t>
      </w:r>
      <w:r>
        <w:rPr>
          <w:bCs/>
          <w:sz w:val="24"/>
          <w:szCs w:val="24"/>
          <w:highlight w:val="none"/>
        </w:rPr>
        <w:t xml:space="preserve">ом 16.8 Дого</w:t>
      </w:r>
      <w:r>
        <w:rPr>
          <w:bCs/>
          <w:sz w:val="24"/>
          <w:szCs w:val="24"/>
          <w:highlight w:val="none"/>
        </w:rPr>
        <w:t xml:space="preserve">вора.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highlight w:val="none"/>
        </w:rPr>
      </w:r>
    </w:p>
    <w:p>
      <w:pPr>
        <w:pStyle w:val="1024"/>
        <w:numPr>
          <w:ilvl w:val="0"/>
          <w:numId w:val="0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1024"/>
        <w:numPr>
          <w:ilvl w:val="0"/>
          <w:numId w:val="3"/>
        </w:numPr>
        <w:pBdr/>
        <w:shd w:val="clear" w:color="auto" w:fill="ffffff"/>
        <w:tabs>
          <w:tab w:val="left" w:leader="none" w:pos="426"/>
          <w:tab w:val="clear" w:leader="none" w:pos="709"/>
        </w:tabs>
        <w:spacing/>
        <w:ind w:right="0" w:firstLine="567" w:left="0"/>
        <w:jc w:val="center"/>
        <w:rPr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Антикоррупционная оговорка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color w:val="000000"/>
          <w:sz w:val="24"/>
          <w:szCs w:val="24"/>
          <w:highlight w:val="none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sz w:val="24"/>
          <w:szCs w:val="24"/>
          <w:highlight w:val="none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  <w:sz w:val="24"/>
          <w:szCs w:val="24"/>
          <w:highlight w:val="none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color w:val="000000"/>
          <w:sz w:val="24"/>
          <w:szCs w:val="24"/>
          <w:highlight w:val="none"/>
        </w:rPr>
        <w:t xml:space="preserve">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</w:t>
      </w:r>
      <w:r>
        <w:rPr>
          <w:bCs/>
          <w:color w:val="000000"/>
          <w:sz w:val="24"/>
          <w:szCs w:val="24"/>
          <w:highlight w:val="none"/>
        </w:rPr>
        <w:t xml:space="preserve">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color w:val="000000"/>
          <w:sz w:val="24"/>
          <w:szCs w:val="24"/>
          <w:highlight w:val="none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 w:val="24"/>
          <w:szCs w:val="24"/>
          <w:highlight w:val="none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color w:val="000000"/>
          <w:sz w:val="24"/>
          <w:szCs w:val="24"/>
          <w:highlight w:val="none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  <w:highlight w:val="none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color w:val="000000"/>
          <w:sz w:val="24"/>
          <w:szCs w:val="24"/>
          <w:highlight w:val="none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  <w:highlight w:val="none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color w:val="000000"/>
          <w:sz w:val="24"/>
          <w:szCs w:val="24"/>
          <w:highlight w:val="none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</w:t>
      </w:r>
      <w:r>
        <w:rPr>
          <w:bCs/>
          <w:color w:val="000000"/>
          <w:sz w:val="24"/>
          <w:szCs w:val="24"/>
          <w:highlight w:val="none"/>
        </w:rPr>
        <w:t xml:space="preserve">об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color w:val="000000"/>
          <w:sz w:val="24"/>
          <w:szCs w:val="24"/>
          <w:highlight w:val="none"/>
        </w:rPr>
        <w:t xml:space="preserve">Каналы связи Линия доверия Группы РусГидро: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Электронная почта: </w:t>
      </w:r>
      <w:hyperlink r:id="rId25" w:tooltip="mailto:ld@rushydro.ru" w:history="1">
        <w:r>
          <w:rPr>
            <w:rStyle w:val="977"/>
            <w:sz w:val="24"/>
            <w:szCs w:val="24"/>
            <w:highlight w:val="none"/>
          </w:rPr>
          <w:t xml:space="preserve">ld@rushydro.ru</w:t>
        </w:r>
      </w:hyperlink>
      <w:r>
        <w:rPr>
          <w:sz w:val="24"/>
          <w:szCs w:val="24"/>
          <w:highlight w:val="none"/>
        </w:rPr>
        <w:t xml:space="preserve">.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highlight w:val="none"/>
        </w:rPr>
      </w:r>
    </w:p>
    <w:p>
      <w:pPr>
        <w:pStyle w:val="1024"/>
        <w:numPr>
          <w:ilvl w:val="2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highlight w:val="none"/>
        </w:rPr>
      </w:r>
    </w:p>
    <w:p>
      <w:pPr>
        <w:pStyle w:val="925"/>
        <w:pBdr/>
        <w:tabs>
          <w:tab w:val="left" w:leader="none" w:pos="709"/>
        </w:tabs>
        <w:spacing w:line="240" w:lineRule="auto"/>
        <w:ind w:right="0" w:firstLine="567" w:left="0"/>
        <w:rPr>
          <w:rFonts w:ascii="Times New Roman" w:hAnsi="Times New Roman"/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</w:p>
    <w:p>
      <w:pPr>
        <w:pStyle w:val="1024"/>
        <w:numPr>
          <w:ilvl w:val="0"/>
          <w:numId w:val="3"/>
        </w:numPr>
        <w:pBdr/>
        <w:shd w:val="clear" w:color="auto" w:fill="ffffff"/>
        <w:tabs>
          <w:tab w:val="left" w:leader="none" w:pos="426"/>
          <w:tab w:val="clear" w:leader="none" w:pos="709"/>
        </w:tabs>
        <w:spacing/>
        <w:ind w:right="0" w:firstLine="567" w:left="0"/>
        <w:jc w:val="center"/>
        <w:rPr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Обстоятельства непреодолимой силы (форс-мажор)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Стороны освобождаются от ответственности за неис</w:t>
      </w:r>
      <w:r>
        <w:rPr>
          <w:bCs/>
          <w:sz w:val="24"/>
          <w:szCs w:val="24"/>
          <w:highlight w:val="none"/>
        </w:rPr>
        <w:t xml:space="preserve">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</w:t>
      </w:r>
      <w:r>
        <w:rPr>
          <w:bCs/>
          <w:sz w:val="24"/>
          <w:szCs w:val="24"/>
          <w:highlight w:val="none"/>
        </w:rPr>
        <w:t xml:space="preserve">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</w:t>
      </w:r>
      <w:r>
        <w:rPr>
          <w:bCs/>
          <w:sz w:val="24"/>
          <w:szCs w:val="24"/>
          <w:highlight w:val="none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  <w:sz w:val="24"/>
          <w:szCs w:val="24"/>
          <w:highlight w:val="none"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Надлежащим (достаточным) доказательством наличия / возникновения и про</w:t>
      </w:r>
      <w:r>
        <w:rPr>
          <w:sz w:val="24"/>
          <w:szCs w:val="24"/>
          <w:highlight w:val="none"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Отсутствие уведомления или</w:t>
      </w:r>
      <w:r>
        <w:rPr>
          <w:bCs/>
          <w:sz w:val="24"/>
          <w:szCs w:val="24"/>
          <w:highlight w:val="none"/>
        </w:rPr>
        <w:t xml:space="preserve">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left" w:leader="none" w:pos="568"/>
          <w:tab w:val="clear" w:leader="none" w:pos="709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  <w:highlight w:val="none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  <w:highlight w:val="none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left" w:leader="none" w:pos="568"/>
          <w:tab w:val="clear" w:leader="none" w:pos="709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highlight w:val="none"/>
        </w:rPr>
      </w:r>
    </w:p>
    <w:p>
      <w:pPr>
        <w:pStyle w:val="925"/>
        <w:pBdr/>
        <w:spacing w:line="240" w:lineRule="auto"/>
        <w:ind w:right="0" w:firstLine="567" w:left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1024"/>
        <w:numPr>
          <w:ilvl w:val="0"/>
          <w:numId w:val="3"/>
        </w:numPr>
        <w:pBdr/>
        <w:shd w:val="clear" w:color="auto" w:fill="ffffff"/>
        <w:tabs>
          <w:tab w:val="left" w:leader="none" w:pos="426"/>
          <w:tab w:val="clear" w:leader="none" w:pos="709"/>
        </w:tabs>
        <w:spacing/>
        <w:ind w:right="0" w:firstLine="567" w:left="0"/>
        <w:jc w:val="center"/>
        <w:rPr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Особые положения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23" w:name="_Ref361337900"/>
      <w:r>
        <w:rPr>
          <w:bCs/>
          <w:sz w:val="24"/>
          <w:szCs w:val="24"/>
          <w:highlight w:val="none"/>
        </w:rPr>
        <w:t xml:space="preserve">Подрядчик обязуется не привлекать и не допускать привлечения к исполнению обязательств по Договору организации:</w:t>
      </w:r>
      <w:r>
        <w:rPr>
          <w:highlight w:val="none"/>
        </w:rPr>
      </w:r>
    </w:p>
    <w:p>
      <w:pPr>
        <w:pStyle w:val="1024"/>
        <w:numPr>
          <w:ilvl w:val="1"/>
          <w:numId w:val="12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имеющие признаки недобросовестности, опред</w:t>
      </w:r>
      <w:r>
        <w:rPr>
          <w:bCs/>
          <w:sz w:val="24"/>
          <w:szCs w:val="24"/>
          <w:highlight w:val="none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26" w:tooltip="consultantplus://offline/ref=94D5CE8889791A29DE57299515463A9D6134D8237B999C803E6F853513x2A2P" w:history="1">
        <w:r>
          <w:rPr>
            <w:bCs/>
            <w:sz w:val="24"/>
            <w:szCs w:val="24"/>
            <w:highlight w:val="none"/>
          </w:rPr>
          <w:t xml:space="preserve">№ 18162/09</w:t>
        </w:r>
      </w:hyperlink>
      <w:r>
        <w:rPr>
          <w:bCs/>
          <w:sz w:val="24"/>
          <w:szCs w:val="24"/>
          <w:highlight w:val="none"/>
        </w:rPr>
        <w:t xml:space="preserve"> и от 25.05.2010 </w:t>
      </w:r>
      <w:hyperlink r:id="rId27" w:tooltip="consultantplus://offline/ref=94D5CE8889791A29DE57299515463A9D6135D2287D929C803E6F853513x2A2P" w:history="1">
        <w:r>
          <w:rPr>
            <w:bCs/>
            <w:sz w:val="24"/>
            <w:szCs w:val="24"/>
            <w:highlight w:val="none"/>
          </w:rPr>
          <w:t xml:space="preserve">№ 15658/09</w:t>
        </w:r>
      </w:hyperlink>
      <w:r>
        <w:rPr>
          <w:bCs/>
          <w:sz w:val="24"/>
          <w:szCs w:val="24"/>
          <w:highlight w:val="none"/>
        </w:rPr>
        <w:t xml:space="preserve">, согласно которым при оценке необоснованной налоговой вы</w:t>
      </w:r>
      <w:r>
        <w:rPr>
          <w:bCs/>
          <w:sz w:val="24"/>
          <w:szCs w:val="24"/>
          <w:highlight w:val="none"/>
        </w:rPr>
        <w:t xml:space="preserve">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</w:t>
      </w:r>
      <w:r>
        <w:rPr>
          <w:highlight w:val="none"/>
        </w:rPr>
      </w:r>
    </w:p>
    <w:p>
      <w:pPr>
        <w:pStyle w:val="1024"/>
        <w:numPr>
          <w:ilvl w:val="1"/>
          <w:numId w:val="12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соответствующие </w:t>
      </w:r>
      <w:hyperlink r:id="rId28" w:tooltip="consultantplus://offline/ref=79440D5123ABA6A25F43346AB59DBAAC7032C8E1556DA64FAED62E167F76889C2B7C475C32EFC59BJ8rDH" w:history="1">
        <w:r>
          <w:rPr>
            <w:bCs/>
            <w:sz w:val="24"/>
            <w:szCs w:val="24"/>
            <w:highlight w:val="none"/>
          </w:rPr>
          <w:t xml:space="preserve">Критери</w:t>
        </w:r>
      </w:hyperlink>
      <w:r>
        <w:rPr>
          <w:bCs/>
          <w:sz w:val="24"/>
          <w:szCs w:val="24"/>
          <w:highlight w:val="none"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23"/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24" w:name="_Ref361337921"/>
      <w:r>
        <w:rPr>
          <w:bCs/>
          <w:sz w:val="24"/>
          <w:szCs w:val="24"/>
          <w:highlight w:val="none"/>
        </w:rPr>
        <w:t xml:space="preserve">Подрядчик обязуется незамедлительно уведомить Заказчика о появлении в ходе исполнения Договора у привлеченных Подрядчиком Субподрядчиков признаков недобросовес</w:t>
      </w:r>
      <w:r>
        <w:rPr>
          <w:bCs/>
          <w:sz w:val="24"/>
          <w:szCs w:val="24"/>
          <w:highlight w:val="none"/>
        </w:rPr>
        <w:t xml:space="preserve">тности, указанных в пункте 13.1 Договора, а также обеспечить прекращение участия таких организаций в исполнении Договора.</w:t>
      </w:r>
      <w:bookmarkEnd w:id="24"/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25" w:name="_Ref361337948"/>
      <w:r>
        <w:rPr>
          <w:bCs/>
          <w:sz w:val="24"/>
          <w:szCs w:val="24"/>
          <w:highlight w:val="none"/>
        </w:rPr>
        <w:t xml:space="preserve">В случае нарушения Подрядчиком обязательств, установленных пунктами 13.1, 13.2 Договора, Заказчик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  <w:sz w:val="24"/>
          <w:szCs w:val="24"/>
          <w:highlight w:val="none"/>
        </w:rPr>
        <w:t xml:space="preserve">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</w:t>
      </w:r>
      <w:r>
        <w:rPr>
          <w:bCs/>
          <w:sz w:val="24"/>
          <w:szCs w:val="24"/>
          <w:highlight w:val="none"/>
        </w:rP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25"/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26" w:name="_Ref361337980"/>
      <w:r>
        <w:rPr>
          <w:bCs/>
          <w:sz w:val="24"/>
          <w:szCs w:val="24"/>
          <w:highlight w:val="none"/>
        </w:rPr>
        <w:t xml:space="preserve">Подрядчик обязан уплатить Заказчику</w:t>
      </w:r>
      <w:r>
        <w:rPr>
          <w:bCs/>
          <w:sz w:val="24"/>
          <w:szCs w:val="24"/>
          <w:highlight w:val="none"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13.1, 13.2 Договора.</w:t>
      </w:r>
      <w:bookmarkEnd w:id="26"/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27" w:name="_Ref373243071"/>
      <w:r>
        <w:rPr>
          <w:bCs/>
          <w:sz w:val="24"/>
          <w:szCs w:val="24"/>
          <w:highlight w:val="none"/>
        </w:rPr>
        <w:t xml:space="preserve">Штраф, предусмотренный пунктом 13.4 Договора, оплачивается Подрядчиком в течение 10 (десяти) рабочих д</w:t>
      </w:r>
      <w:r>
        <w:rPr>
          <w:bCs/>
          <w:sz w:val="24"/>
          <w:szCs w:val="24"/>
          <w:highlight w:val="none"/>
        </w:rP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13.3 Договора.</w:t>
      </w:r>
      <w:bookmarkEnd w:id="27"/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28" w:name="_Ref361337992"/>
      <w:r>
        <w:rPr>
          <w:bCs/>
          <w:sz w:val="24"/>
          <w:szCs w:val="24"/>
          <w:highlight w:val="none"/>
        </w:rPr>
        <w:t xml:space="preserve">Заказчик вправе приостановить осуществление любых платежей по Договору, причитающи</w:t>
      </w:r>
      <w:r>
        <w:rPr>
          <w:bCs/>
          <w:sz w:val="24"/>
          <w:szCs w:val="24"/>
          <w:highlight w:val="none"/>
        </w:rPr>
        <w:t xml:space="preserve">хся Подрядчику, независимо от наличия оснований и наступления сроков таких платежей, до уплаты Подрядчиком штрафа, предусмотренного пунктом 13.4. Договора. При этом Заказчик не будет считаться просрочившим и / или нарушившим свои обязательства по Договору.</w:t>
      </w:r>
      <w:bookmarkEnd w:id="28"/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Независимо от других положений Договора, положения пунктов 13.4, 13.5 Договора продолжают действовать в течение 4 (четырех) лет после его прекращения (расторжения) или исполнения.</w:t>
      </w:r>
      <w:r>
        <w:rPr>
          <w:highlight w:val="none"/>
        </w:rPr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left" w:leader="none" w:pos="567"/>
          <w:tab w:val="clear" w:leader="none" w:pos="709"/>
        </w:tabs>
        <w:spacing/>
        <w:ind w:right="0" w:firstLine="567" w:left="0"/>
        <w:jc w:val="both"/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1024"/>
        <w:numPr>
          <w:ilvl w:val="0"/>
          <w:numId w:val="3"/>
        </w:numPr>
        <w:pBdr/>
        <w:shd w:val="clear" w:color="auto" w:fill="ffffff"/>
        <w:tabs>
          <w:tab w:val="left" w:leader="none" w:pos="426"/>
          <w:tab w:val="clear" w:leader="none" w:pos="709"/>
        </w:tabs>
        <w:spacing/>
        <w:ind w:right="0" w:firstLine="567" w:left="0"/>
        <w:jc w:val="center"/>
        <w:rPr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Заверения</w:t>
      </w:r>
      <w:r>
        <w:rPr>
          <w:b/>
          <w:sz w:val="24"/>
          <w:szCs w:val="24"/>
          <w:highlight w:val="none"/>
        </w:rPr>
        <w:t xml:space="preserve"> Сторон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Каждая</w:t>
      </w:r>
      <w:r>
        <w:rPr>
          <w:sz w:val="24"/>
          <w:szCs w:val="24"/>
          <w:highlight w:val="none"/>
        </w:rPr>
        <w:t xml:space="preserve"> из Сторон заявляет и подтверждает другой Стороне, что:</w:t>
      </w:r>
      <w:r>
        <w:rPr>
          <w:highlight w:val="none"/>
        </w:rPr>
      </w:r>
    </w:p>
    <w:p>
      <w:pPr>
        <w:pStyle w:val="1024"/>
        <w:numPr>
          <w:ilvl w:val="0"/>
          <w:numId w:val="9"/>
        </w:numPr>
        <w:pBdr/>
        <w:shd w:val="clear" w:color="auto" w:fill="ffffff"/>
        <w:tabs>
          <w:tab w:val="left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highlight w:val="none"/>
        </w:rPr>
      </w:r>
    </w:p>
    <w:p>
      <w:pPr>
        <w:pStyle w:val="1024"/>
        <w:numPr>
          <w:ilvl w:val="0"/>
          <w:numId w:val="9"/>
        </w:numPr>
        <w:pBdr/>
        <w:shd w:val="clear" w:color="auto" w:fill="ffffff"/>
        <w:tabs>
          <w:tab w:val="left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highlight w:val="none"/>
        </w:rPr>
      </w:r>
    </w:p>
    <w:p>
      <w:pPr>
        <w:pStyle w:val="1024"/>
        <w:numPr>
          <w:ilvl w:val="0"/>
          <w:numId w:val="9"/>
        </w:numPr>
        <w:pBdr/>
        <w:shd w:val="clear" w:color="auto" w:fill="ffffff"/>
        <w:tabs>
          <w:tab w:val="left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она получила все корпоративные одо</w:t>
      </w:r>
      <w:r>
        <w:rPr>
          <w:sz w:val="24"/>
          <w:szCs w:val="24"/>
          <w:highlight w:val="none"/>
        </w:rP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highlight w:val="none"/>
        </w:rPr>
      </w:r>
    </w:p>
    <w:p>
      <w:pPr>
        <w:pStyle w:val="1024"/>
        <w:numPr>
          <w:ilvl w:val="0"/>
          <w:numId w:val="9"/>
        </w:numPr>
        <w:pBdr/>
        <w:shd w:val="clear" w:color="auto" w:fill="ffffff"/>
        <w:tabs>
          <w:tab w:val="left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highlight w:val="none"/>
        </w:rPr>
      </w:r>
    </w:p>
    <w:p>
      <w:pPr>
        <w:pStyle w:val="1024"/>
        <w:numPr>
          <w:ilvl w:val="0"/>
          <w:numId w:val="9"/>
        </w:numPr>
        <w:pBdr/>
        <w:shd w:val="clear" w:color="auto" w:fill="ffffff"/>
        <w:tabs>
          <w:tab w:val="left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Подрядчик заявляет и заверяет Заказчика в том, что на момент заключения Договора:</w:t>
      </w:r>
      <w:r>
        <w:rPr>
          <w:highlight w:val="none"/>
        </w:rPr>
      </w:r>
    </w:p>
    <w:p>
      <w:pPr>
        <w:pStyle w:val="1024"/>
        <w:numPr>
          <w:ilvl w:val="0"/>
          <w:numId w:val="11"/>
        </w:numPr>
        <w:pBdr/>
        <w:shd w:val="clear" w:color="auto" w:fill="ffffff"/>
        <w:tabs>
          <w:tab w:val="left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учредителем / учредителями Подрядчика являются лица, не являющиеся массовыми учредителем / учредителями;</w:t>
      </w:r>
      <w:r>
        <w:rPr>
          <w:highlight w:val="none"/>
        </w:rPr>
      </w:r>
    </w:p>
    <w:p>
      <w:pPr>
        <w:pStyle w:val="1024"/>
        <w:numPr>
          <w:ilvl w:val="0"/>
          <w:numId w:val="11"/>
        </w:numPr>
        <w:pBdr/>
        <w:shd w:val="clear" w:color="auto" w:fill="ffffff"/>
        <w:tabs>
          <w:tab w:val="left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руководителем Подрядчика является лицо, не являющееся массовым руководителем;</w:t>
      </w:r>
      <w:r>
        <w:rPr>
          <w:highlight w:val="none"/>
        </w:rPr>
      </w:r>
    </w:p>
    <w:p>
      <w:pPr>
        <w:pStyle w:val="1024"/>
        <w:numPr>
          <w:ilvl w:val="0"/>
          <w:numId w:val="11"/>
        </w:numPr>
        <w:pBdr/>
        <w:shd w:val="clear" w:color="auto" w:fill="ffffff"/>
        <w:tabs>
          <w:tab w:val="left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Подрядчик фактически находится по адресу, указанному в Едином государственном реестре юридических лиц;</w:t>
      </w:r>
      <w:r>
        <w:rPr>
          <w:highlight w:val="none"/>
        </w:rPr>
      </w:r>
    </w:p>
    <w:p>
      <w:pPr>
        <w:pStyle w:val="1024"/>
        <w:numPr>
          <w:ilvl w:val="0"/>
          <w:numId w:val="11"/>
        </w:numPr>
        <w:pBdr/>
        <w:shd w:val="clear" w:color="auto" w:fill="ffffff"/>
        <w:tabs>
          <w:tab w:val="left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>
        <w:rPr>
          <w:highlight w:val="none"/>
        </w:rPr>
      </w:r>
    </w:p>
    <w:p>
      <w:pPr>
        <w:pStyle w:val="1024"/>
        <w:numPr>
          <w:ilvl w:val="0"/>
          <w:numId w:val="10"/>
        </w:numPr>
        <w:pBdr/>
        <w:shd w:val="clear" w:color="auto" w:fill="ffffff"/>
        <w:tabs>
          <w:tab w:val="left" w:leader="none" w:pos="567"/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rPr>
          <w:sz w:val="24"/>
          <w:szCs w:val="24"/>
          <w:highlight w:val="none"/>
        </w:rP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  <w:r>
        <w:rPr>
          <w:highlight w:val="none"/>
        </w:rPr>
      </w:r>
    </w:p>
    <w:p>
      <w:pPr>
        <w:pStyle w:val="1024"/>
        <w:numPr>
          <w:ilvl w:val="0"/>
          <w:numId w:val="10"/>
        </w:numPr>
        <w:pBdr/>
        <w:shd w:val="clear" w:color="auto" w:fill="ffffff"/>
        <w:tabs>
          <w:tab w:val="left" w:leader="none" w:pos="567"/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Подрядчик состоит в СРО, основанной на членстве лиц</w:t>
      </w:r>
      <w:r>
        <w:rPr>
          <w:sz w:val="24"/>
          <w:szCs w:val="24"/>
          <w:highlight w:val="none"/>
        </w:rPr>
        <w:t xml:space="preserve">, выполняющих инженерные изыскания / подготовку проектной документации или / осуществляющих строительство</w:t>
      </w:r>
      <w:r>
        <w:rPr>
          <w:sz w:val="24"/>
          <w:szCs w:val="24"/>
          <w:highlight w:val="none"/>
        </w:rPr>
        <w:t xml:space="preserve">;</w:t>
      </w:r>
      <w:r>
        <w:rPr>
          <w:highlight w:val="none"/>
        </w:rPr>
      </w:r>
    </w:p>
    <w:p>
      <w:pPr>
        <w:pStyle w:val="1024"/>
        <w:numPr>
          <w:ilvl w:val="0"/>
          <w:numId w:val="10"/>
        </w:numPr>
        <w:pBdr/>
        <w:shd w:val="clear" w:color="auto" w:fill="ffffff"/>
        <w:tabs>
          <w:tab w:val="left" w:leader="none" w:pos="567"/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Подрядчик имеет в штате по основному месту работы не менее 2 (двух) специалистов </w:t>
      </w:r>
      <w:r>
        <w:rPr>
          <w:sz w:val="24"/>
          <w:szCs w:val="24"/>
          <w:highlight w:val="none"/>
        </w:rPr>
        <w:t xml:space="preserve">по организации инженерных изысканий / по организации архитектурно-строительного проектирования / по организации строительства</w:t>
      </w:r>
      <w:r>
        <w:rPr>
          <w:sz w:val="24"/>
          <w:szCs w:val="24"/>
          <w:highlight w:val="none"/>
        </w:rPr>
        <w:t xml:space="preserve">, сведения о которых включены в национальный реестр специалистов в области инженерных изысканий и архитектурно-строительного проектирования / национальный реестр специалистов в области строительства</w:t>
      </w:r>
      <w:r>
        <w:rPr>
          <w:rStyle w:val="960"/>
          <w:sz w:val="24"/>
          <w:szCs w:val="24"/>
          <w:highlight w:val="none"/>
        </w:rPr>
        <w:footnoteReference w:id="2"/>
      </w:r>
      <w:r>
        <w:rPr>
          <w:sz w:val="24"/>
          <w:szCs w:val="24"/>
          <w:highlight w:val="none"/>
        </w:rPr>
        <w:t xml:space="preserve">;</w:t>
      </w:r>
      <w:r>
        <w:rPr>
          <w:highlight w:val="none"/>
        </w:rPr>
      </w:r>
    </w:p>
    <w:p>
      <w:pPr>
        <w:pStyle w:val="1024"/>
        <w:numPr>
          <w:ilvl w:val="0"/>
          <w:numId w:val="10"/>
        </w:numPr>
        <w:pBdr/>
        <w:shd w:val="clear" w:color="auto" w:fill="ffffff"/>
        <w:tabs>
          <w:tab w:val="left" w:leader="none" w:pos="567"/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</w:t>
      </w:r>
      <w:r>
        <w:rPr>
          <w:sz w:val="24"/>
          <w:szCs w:val="24"/>
          <w:highlight w:val="none"/>
        </w:rP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  <w:r>
        <w:rPr>
          <w:highlight w:val="none"/>
        </w:rPr>
      </w:r>
    </w:p>
    <w:p>
      <w:pPr>
        <w:pStyle w:val="1024"/>
        <w:numPr>
          <w:ilvl w:val="0"/>
          <w:numId w:val="10"/>
        </w:numPr>
        <w:pBdr/>
        <w:shd w:val="clear" w:color="auto" w:fill="ffffff"/>
        <w:tabs>
          <w:tab w:val="left" w:leader="none" w:pos="567"/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Подрядчик тщательно изучил всю информацию, связанную с Догов</w:t>
      </w:r>
      <w:r>
        <w:rPr>
          <w:sz w:val="24"/>
          <w:szCs w:val="24"/>
          <w:highlight w:val="none"/>
        </w:rPr>
        <w:t xml:space="preserve">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  <w:r>
        <w:rPr>
          <w:highlight w:val="none"/>
        </w:rPr>
      </w:r>
    </w:p>
    <w:p>
      <w:pPr>
        <w:pStyle w:val="1024"/>
        <w:numPr>
          <w:ilvl w:val="0"/>
          <w:numId w:val="10"/>
        </w:numPr>
        <w:pBdr/>
        <w:shd w:val="clear" w:color="auto" w:fill="ffffff"/>
        <w:tabs>
          <w:tab w:val="left" w:leader="none" w:pos="567"/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>
        <w:rPr>
          <w:highlight w:val="none"/>
        </w:rPr>
      </w:r>
    </w:p>
    <w:p>
      <w:pPr>
        <w:pStyle w:val="1024"/>
        <w:numPr>
          <w:ilvl w:val="0"/>
          <w:numId w:val="10"/>
        </w:numPr>
        <w:pBdr/>
        <w:shd w:val="clear" w:color="auto" w:fill="ffffff"/>
        <w:tabs>
          <w:tab w:val="left" w:leader="none" w:pos="567"/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highlight w:val="none"/>
        </w:rPr>
      </w:r>
    </w:p>
    <w:p>
      <w:pPr>
        <w:pStyle w:val="1024"/>
        <w:numPr>
          <w:ilvl w:val="0"/>
          <w:numId w:val="10"/>
        </w:numPr>
        <w:pBdr/>
        <w:shd w:val="clear" w:color="auto" w:fill="ffffff"/>
        <w:tabs>
          <w:tab w:val="left" w:leader="none" w:pos="567"/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>
        <w:rPr>
          <w:highlight w:val="none"/>
        </w:rPr>
      </w:r>
    </w:p>
    <w:p>
      <w:pPr>
        <w:pStyle w:val="925"/>
        <w:numPr>
          <w:ilvl w:val="1"/>
          <w:numId w:val="3"/>
        </w:numPr>
        <w:pBdr/>
        <w:spacing w:line="240" w:lineRule="auto"/>
        <w:ind w:right="0" w:firstLine="567" w:left="0"/>
        <w:rPr>
          <w:highlight w:val="none"/>
        </w:rPr>
      </w:pPr>
      <w:r>
        <w:rPr>
          <w:sz w:val="24"/>
          <w:szCs w:val="24"/>
          <w:highlight w:val="none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В случае, если </w:t>
      </w:r>
      <w:r>
        <w:rPr>
          <w:bCs/>
          <w:sz w:val="24"/>
          <w:szCs w:val="24"/>
          <w:highlight w:val="none"/>
        </w:rPr>
        <w:t xml:space="preserve">Подрядчик</w:t>
      </w:r>
      <w:r>
        <w:rPr>
          <w:sz w:val="24"/>
          <w:szCs w:val="24"/>
          <w:highlight w:val="none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  <w:sz w:val="24"/>
          <w:szCs w:val="24"/>
          <w:highlight w:val="none"/>
        </w:rPr>
        <w:t xml:space="preserve">Подрядчик </w:t>
      </w:r>
      <w:r>
        <w:rPr>
          <w:sz w:val="24"/>
          <w:szCs w:val="24"/>
          <w:highlight w:val="none"/>
        </w:rPr>
        <w:t xml:space="preserve">обязан по письменному требованию Заказчика уплатить последнему штраф в размере 5 (пять) процентов от Цены Договора, указанной в пункте 3.1 Договора.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rPr>
          <w:sz w:val="24"/>
          <w:szCs w:val="24"/>
          <w:highlight w:val="none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134"/>
          <w:tab w:val="left" w:leader="none" w:pos="1418"/>
        </w:tabs>
        <w:spacing/>
        <w:ind w:right="0" w:firstLine="567" w:left="0"/>
        <w:jc w:val="both"/>
        <w:rPr>
          <w:rFonts w:ascii="Times New Roman" w:hAnsi="Times New Roman"/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</w:p>
    <w:p>
      <w:pPr>
        <w:pStyle w:val="1024"/>
        <w:numPr>
          <w:ilvl w:val="0"/>
          <w:numId w:val="3"/>
        </w:numPr>
        <w:pBdr/>
        <w:shd w:val="clear" w:color="auto" w:fill="ffffff"/>
        <w:tabs>
          <w:tab w:val="left" w:leader="none" w:pos="426"/>
          <w:tab w:val="clear" w:leader="none" w:pos="709"/>
        </w:tabs>
        <w:spacing/>
        <w:ind w:right="0" w:firstLine="567" w:left="0"/>
        <w:jc w:val="center"/>
        <w:rPr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П</w:t>
      </w:r>
      <w:r>
        <w:rPr>
          <w:b/>
          <w:sz w:val="24"/>
          <w:szCs w:val="24"/>
          <w:highlight w:val="none"/>
        </w:rPr>
        <w:t xml:space="preserve">рекращение (расторжение) Договора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Договор может быть прекращен (расторгнут) по соглашению Сторон. Сторона, имеющая намерение расторгнуть Договор, напр</w:t>
      </w:r>
      <w:r>
        <w:rPr>
          <w:sz w:val="24"/>
          <w:szCs w:val="24"/>
          <w:highlight w:val="none"/>
        </w:rPr>
        <w:t xml:space="preserve">авляет письменное уведомление об этом другой Стороне в порядке, предусмотренном пунктом 16.8 Договора, с приложением подписанного соглашения о расторжении Договора. Уведомление о р</w:t>
      </w:r>
      <w:r>
        <w:rPr>
          <w:sz w:val="24"/>
          <w:szCs w:val="24"/>
          <w:highlight w:val="none"/>
        </w:rPr>
        <w:t xml:space="preserve">асторжении Договора должно быть рассмотрено Стороной-получателем в течение 30 (тридцати) календарных дней со дня его получения.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Заказчик вправе в любое время до сдачи ему результатов Работ в односторонн</w:t>
      </w:r>
      <w:r>
        <w:rPr>
          <w:sz w:val="24"/>
          <w:szCs w:val="24"/>
          <w:highlight w:val="none"/>
        </w:rPr>
        <w:t xml:space="preserve">ем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Возмещение убытков Подрядчика, вызванных отказом от Договора (исполнения Договора), Заказчиком не производится.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Заказчик одновременно с уведомлением об отказе от Договора (исполнени</w:t>
      </w:r>
      <w:r>
        <w:rPr>
          <w:sz w:val="24"/>
          <w:szCs w:val="24"/>
          <w:highlight w:val="none"/>
        </w:rP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Стороны установили, что существенным нарушением Договора Подрядчиком является:</w:t>
      </w:r>
      <w:r>
        <w:rPr>
          <w:highlight w:val="none"/>
        </w:rPr>
      </w:r>
    </w:p>
    <w:p>
      <w:pPr>
        <w:pStyle w:val="1024"/>
        <w:numPr>
          <w:ilvl w:val="0"/>
          <w:numId w:val="8"/>
        </w:numPr>
        <w:pBdr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нарушение Подрядчиком начального и конечного сроков выполнения Работ по Договору, а также промежуточных сроков выполнения Работ, установленных Договором  более чем на 60 (шестьдесят) календарных дней по причинам, не зависящим от Заказчика;</w:t>
      </w:r>
      <w:r>
        <w:rPr>
          <w:highlight w:val="none"/>
        </w:rPr>
      </w:r>
    </w:p>
    <w:p>
      <w:pPr>
        <w:pStyle w:val="1024"/>
        <w:numPr>
          <w:ilvl w:val="0"/>
          <w:numId w:val="8"/>
        </w:numPr>
        <w:pBdr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несоблюдение Подрядчиком требований к качеству Работ и / или используемых при выполнении Работ Материально-технических ресурсов</w:t>
      </w:r>
      <w:r>
        <w:rPr>
          <w:bCs/>
          <w:sz w:val="24"/>
          <w:szCs w:val="24"/>
          <w:highlight w:val="none"/>
        </w:rPr>
        <w:t xml:space="preserve"> и оборудования,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Оборудования Заказчика</w:t>
      </w:r>
      <w:r>
        <w:rPr>
          <w:sz w:val="24"/>
          <w:szCs w:val="24"/>
          <w:highlight w:val="none"/>
        </w:rPr>
        <w:t xml:space="preserve">,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календарных дней либо такие недостатки являются неустранимыми;</w:t>
      </w:r>
      <w:r>
        <w:rPr>
          <w:highlight w:val="none"/>
        </w:rPr>
      </w:r>
    </w:p>
    <w:p>
      <w:pPr>
        <w:pStyle w:val="1024"/>
        <w:numPr>
          <w:ilvl w:val="0"/>
          <w:numId w:val="8"/>
        </w:numPr>
        <w:pBdr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>
        <w:rPr>
          <w:highlight w:val="none"/>
        </w:rPr>
      </w:r>
    </w:p>
    <w:p>
      <w:pPr>
        <w:pStyle w:val="1024"/>
        <w:numPr>
          <w:ilvl w:val="0"/>
          <w:numId w:val="8"/>
        </w:numPr>
        <w:pBdr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принятие актов государственных органов или организаций, лишающих Подрядчика в установленном порядке права на производство Работ по Договору</w:t>
      </w:r>
      <w:r>
        <w:rPr>
          <w:sz w:val="24"/>
          <w:szCs w:val="24"/>
          <w:highlight w:val="none"/>
        </w:rPr>
        <w:t xml:space="preserve">;</w:t>
      </w:r>
      <w:r>
        <w:rPr>
          <w:rStyle w:val="960"/>
          <w:sz w:val="24"/>
          <w:szCs w:val="24"/>
          <w:highlight w:val="none"/>
        </w:rPr>
        <w:footnoteReference w:id="3"/>
      </w:r>
      <w:r>
        <w:rPr>
          <w:highlight w:val="none"/>
        </w:rPr>
      </w:r>
    </w:p>
    <w:p>
      <w:pPr>
        <w:pStyle w:val="1024"/>
        <w:numPr>
          <w:ilvl w:val="0"/>
          <w:numId w:val="8"/>
        </w:numPr>
        <w:pBdr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>
        <w:rPr>
          <w:highlight w:val="none"/>
        </w:rPr>
      </w:r>
    </w:p>
    <w:p>
      <w:pPr>
        <w:pStyle w:val="1024"/>
        <w:numPr>
          <w:ilvl w:val="0"/>
          <w:numId w:val="8"/>
        </w:numPr>
        <w:pBdr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привлечение к выполнению Работ по Договору третьих лиц (Субподрядчиков) с нарушением требований;</w:t>
      </w:r>
      <w:r>
        <w:rPr>
          <w:highlight w:val="none"/>
        </w:rPr>
      </w:r>
    </w:p>
    <w:p>
      <w:pPr>
        <w:pStyle w:val="1024"/>
        <w:numPr>
          <w:ilvl w:val="0"/>
          <w:numId w:val="8"/>
        </w:numPr>
        <w:pBdr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установление в ходе исполнения Договора фактов несоответствия Подрядчика установленны</w:t>
      </w:r>
      <w:r>
        <w:rPr>
          <w:sz w:val="24"/>
          <w:szCs w:val="24"/>
          <w:highlight w:val="none"/>
        </w:rPr>
        <w:t xml:space="preserve">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</w:t>
      </w:r>
      <w:r>
        <w:rPr>
          <w:sz w:val="24"/>
          <w:szCs w:val="24"/>
          <w:highlight w:val="none"/>
        </w:rPr>
        <w:t xml:space="preserve">е 15 Дог</w:t>
      </w:r>
      <w:r>
        <w:rPr>
          <w:sz w:val="24"/>
          <w:szCs w:val="24"/>
          <w:highlight w:val="none"/>
        </w:rPr>
        <w:t xml:space="preserve">овора, и имеющих существенное значение для его заключения и исполнения.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В случае</w:t>
      </w:r>
      <w:r>
        <w:rPr>
          <w:sz w:val="24"/>
          <w:szCs w:val="24"/>
          <w:highlight w:val="none"/>
        </w:rPr>
        <w:t xml:space="preserve"> отказа Заказчика от Договора в случаях, предусмотренных пунктами 15.2, 15.3, 15.4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 (-ов)), и в согласованные Сторонами сроки:</w:t>
      </w:r>
      <w:r>
        <w:rPr>
          <w:highlight w:val="none"/>
        </w:rPr>
      </w:r>
    </w:p>
    <w:p>
      <w:pPr>
        <w:pStyle w:val="1024"/>
        <w:numPr>
          <w:ilvl w:val="0"/>
          <w:numId w:val="15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передать Заказчику Результат работ, техническую и иную полученную документацию, закупленные Материально-технические ресурсы</w:t>
      </w:r>
      <w:r>
        <w:rPr>
          <w:bCs/>
          <w:sz w:val="24"/>
          <w:szCs w:val="24"/>
          <w:highlight w:val="none"/>
        </w:rPr>
        <w:t xml:space="preserve"> и оборудование</w:t>
      </w:r>
      <w:r>
        <w:rPr>
          <w:bCs/>
          <w:sz w:val="24"/>
          <w:szCs w:val="24"/>
          <w:highlight w:val="none"/>
        </w:rPr>
        <w:t xml:space="preserve">;</w:t>
      </w:r>
      <w:r>
        <w:rPr>
          <w:highlight w:val="none"/>
        </w:rPr>
      </w:r>
    </w:p>
    <w:p>
      <w:pPr>
        <w:pStyle w:val="1024"/>
        <w:numPr>
          <w:ilvl w:val="0"/>
          <w:numId w:val="15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вывезти с места производства Работ собственную строительную технику</w:t>
      </w:r>
      <w:r>
        <w:rPr>
          <w:rFonts w:cs="Verdana"/>
          <w:sz w:val="24"/>
          <w:szCs w:val="24"/>
          <w:highlight w:val="none"/>
        </w:rPr>
        <w:t xml:space="preserve"> и персонал Подрядчика;</w:t>
      </w:r>
      <w:r>
        <w:rPr>
          <w:highlight w:val="none"/>
        </w:rPr>
      </w:r>
    </w:p>
    <w:p>
      <w:pPr>
        <w:pStyle w:val="1024"/>
        <w:numPr>
          <w:ilvl w:val="0"/>
          <w:numId w:val="15"/>
        </w:numPr>
        <w:pBdr/>
        <w:shd w:val="clear" w:color="auto" w:fill="ffffff"/>
        <w:tabs>
          <w:tab w:val="clear" w:leader="none" w:pos="709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rFonts w:cs="Verdana"/>
          <w:sz w:val="24"/>
          <w:szCs w:val="24"/>
          <w:highlight w:val="none"/>
        </w:rPr>
        <w:t xml:space="preserve">удалить </w:t>
      </w:r>
      <w:r>
        <w:rPr>
          <w:sz w:val="24"/>
          <w:szCs w:val="24"/>
          <w:highlight w:val="none"/>
        </w:rPr>
        <w:t xml:space="preserve">с места производства Работ </w:t>
      </w:r>
      <w:r>
        <w:rPr>
          <w:rFonts w:cs="Verdana"/>
          <w:sz w:val="24"/>
          <w:szCs w:val="24"/>
          <w:highlight w:val="none"/>
        </w:rPr>
        <w:t xml:space="preserve">весь мусор и все остаточные продукты любого рода и оставить Строительную площадку чистой и безопасной.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В случае досрочного прекращения (расторжения) Договора возврат Обеспечительного платежа производится Заказчиком в порядке и сроки, установленном пунктом 3.5 Договора.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</w:t>
      </w:r>
      <w:r>
        <w:rPr>
          <w:sz w:val="24"/>
          <w:szCs w:val="24"/>
          <w:highlight w:val="none"/>
        </w:rPr>
        <w:t xml:space="preserve">исключением обязательств по незавершенным расчетам, гарантийных обязательств Подрядчика в соответствии с разделом 7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>
        <w:rPr>
          <w:highlight w:val="none"/>
        </w:rPr>
      </w:r>
    </w:p>
    <w:p>
      <w:pPr>
        <w:pStyle w:val="1024"/>
        <w:numPr>
          <w:ilvl w:val="0"/>
          <w:numId w:val="0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1024"/>
        <w:numPr>
          <w:ilvl w:val="0"/>
          <w:numId w:val="3"/>
        </w:numPr>
        <w:pBdr/>
        <w:shd w:val="clear" w:color="auto" w:fill="ffffff"/>
        <w:tabs>
          <w:tab w:val="left" w:leader="none" w:pos="426"/>
          <w:tab w:val="clear" w:leader="none" w:pos="709"/>
        </w:tabs>
        <w:spacing/>
        <w:ind w:right="0" w:firstLine="567" w:left="0"/>
        <w:jc w:val="center"/>
        <w:rPr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Заключительные положения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Договор вступает в силу с даты его подписания Сторонами и действует до полного исполнения ими принятых на себя обязательств.</w:t>
      </w:r>
      <w:r>
        <w:rPr>
          <w:highlight w:val="none"/>
        </w:rPr>
      </w:r>
    </w:p>
    <w:p>
      <w:pPr>
        <w:pStyle w:val="925"/>
        <w:numPr>
          <w:ilvl w:val="1"/>
          <w:numId w:val="3"/>
        </w:numPr>
        <w:pBdr/>
        <w:spacing w:line="240" w:lineRule="auto"/>
        <w:ind w:right="0" w:firstLine="567" w:left="0"/>
        <w:rPr>
          <w:highlight w:val="none"/>
        </w:rPr>
      </w:pPr>
      <w:r>
        <w:rPr>
          <w:sz w:val="24"/>
          <w:szCs w:val="24"/>
          <w:highlight w:val="none"/>
        </w:rPr>
        <w:t xml:space="preserve">Договор заключается в электронной форме с использованием программно-аппаратных средств электронной площадки путем его подписания усиленными квалифицированными электронными подписями (далее – УКЭП) уполномоченных представителей Сторон.</w:t>
      </w:r>
      <w:r>
        <w:rPr>
          <w:highlight w:val="none"/>
        </w:rPr>
      </w:r>
    </w:p>
    <w:p>
      <w:pPr>
        <w:pStyle w:val="1024"/>
        <w:pBdr/>
        <w:tabs>
          <w:tab w:val="clear" w:leader="none" w:pos="709"/>
          <w:tab w:val="left" w:leader="none" w:pos="1701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</w:t>
      </w:r>
      <w:r>
        <w:rPr>
          <w:sz w:val="24"/>
          <w:szCs w:val="24"/>
          <w:highlight w:val="none"/>
        </w:rPr>
        <w:t xml:space="preserve">торон собственноручно, за исключением случаев изменения реквизитов Сторон, предусмотренных пунктом 16.7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В случае наличия любых расхождений между содержанием Договора и приложений к нему, приоритет имеет текст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</w:t>
      </w:r>
      <w:r>
        <w:rPr>
          <w:sz w:val="24"/>
          <w:szCs w:val="24"/>
          <w:highlight w:val="none"/>
        </w:rPr>
        <w:t xml:space="preserve">дке, предусмотренном пунктом 16.8 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left" w:leader="none" w:pos="0"/>
          <w:tab w:val="clear" w:leader="none" w:pos="709"/>
          <w:tab w:val="left" w:leader="none" w:pos="1134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bookmarkStart w:id="29" w:name="_Ref361338004"/>
      <w:r>
        <w:rPr>
          <w:sz w:val="24"/>
          <w:szCs w:val="24"/>
          <w:highlight w:val="none"/>
        </w:rPr>
        <w:t xml:space="preserve">Стороны обязуются уведомлять друг друга об изменении адреса и / или реквизитов, указанных в разделе 18 Договора, не позднее 3 (трех) рабочих дней после такого изменения в порядке, установленном пунктом 16.8 Договора.</w:t>
      </w:r>
      <w:bookmarkEnd w:id="29"/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left" w:leader="none" w:pos="0"/>
          <w:tab w:val="clear" w:leader="none" w:pos="709"/>
          <w:tab w:val="left" w:leader="none" w:pos="1134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Письма, уведомления и / или сообщения направляются Стороне</w:t>
      </w:r>
      <w:r>
        <w:rPr>
          <w:bCs/>
          <w:sz w:val="24"/>
          <w:szCs w:val="24"/>
          <w:highlight w:val="none"/>
        </w:rPr>
        <w:t xml:space="preserve">-</w:t>
      </w:r>
      <w:r>
        <w:rPr>
          <w:sz w:val="24"/>
          <w:szCs w:val="24"/>
          <w:highlight w:val="none"/>
        </w:rPr>
        <w:t xml:space="preserve">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  <w:sz w:val="24"/>
          <w:szCs w:val="24"/>
          <w:highlight w:val="none"/>
        </w:rPr>
        <w:t xml:space="preserve"> будет считаться полученным</w:t>
      </w:r>
      <w:r>
        <w:rPr>
          <w:sz w:val="24"/>
          <w:szCs w:val="24"/>
          <w:highlight w:val="none"/>
        </w:rPr>
        <w:t xml:space="preserve">:</w:t>
      </w:r>
      <w:r>
        <w:rPr>
          <w:highlight w:val="none"/>
        </w:rPr>
      </w:r>
      <w:r>
        <w:rPr>
          <w:highlight w:val="none"/>
        </w:rPr>
      </w:r>
    </w:p>
    <w:p>
      <w:pPr>
        <w:pStyle w:val="1024"/>
        <w:widowControl w:val="false"/>
        <w:numPr>
          <w:ilvl w:val="2"/>
          <w:numId w:val="3"/>
        </w:numPr>
        <w:pBdr/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Заказным почтовым отправлением с уведомлением о вручении – </w:t>
      </w:r>
      <w:r>
        <w:rPr>
          <w:sz w:val="24"/>
          <w:szCs w:val="24"/>
          <w:highlight w:val="non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>
        <w:rPr>
          <w:highlight w:val="none"/>
        </w:rPr>
      </w:r>
      <w:r>
        <w:rPr>
          <w:highlight w:val="none"/>
        </w:rPr>
      </w:r>
    </w:p>
    <w:p>
      <w:pPr>
        <w:pStyle w:val="1024"/>
        <w:widowControl w:val="false"/>
        <w:numPr>
          <w:ilvl w:val="2"/>
          <w:numId w:val="3"/>
        </w:numPr>
        <w:pBdr/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</w:t>
      </w:r>
      <w:r>
        <w:rPr>
          <w:sz w:val="24"/>
          <w:szCs w:val="24"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24"/>
        <w:widowControl w:val="false"/>
        <w:numPr>
          <w:ilvl w:val="2"/>
          <w:numId w:val="3"/>
        </w:numPr>
        <w:pBdr/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Посредством электронной почты (</w:t>
      </w:r>
      <w:r>
        <w:rPr>
          <w:bCs/>
          <w:sz w:val="24"/>
          <w:szCs w:val="24"/>
          <w:highlight w:val="none"/>
          <w:lang w:val="en-US"/>
        </w:rPr>
        <w:t xml:space="preserve">e</w:t>
      </w:r>
      <w:r>
        <w:rPr>
          <w:bCs/>
          <w:sz w:val="24"/>
          <w:szCs w:val="24"/>
          <w:highlight w:val="none"/>
        </w:rPr>
        <w:t xml:space="preserve">-</w:t>
      </w:r>
      <w:r>
        <w:rPr>
          <w:bCs/>
          <w:sz w:val="24"/>
          <w:szCs w:val="24"/>
          <w:highlight w:val="none"/>
          <w:lang w:val="en-US"/>
        </w:rPr>
        <w:t xml:space="preserve">mail</w:t>
      </w:r>
      <w:r>
        <w:rPr>
          <w:bCs/>
          <w:sz w:val="24"/>
          <w:szCs w:val="24"/>
          <w:highlight w:val="none"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highlight w:val="none"/>
        </w:rPr>
      </w:r>
      <w:r>
        <w:rPr>
          <w:highlight w:val="none"/>
        </w:rPr>
      </w:r>
    </w:p>
    <w:p>
      <w:pPr>
        <w:pStyle w:val="1024"/>
        <w:pBdr/>
        <w:shd w:val="clear" w:color="auto" w:fill="ffffff"/>
        <w:tabs>
          <w:tab w:val="left" w:leader="none" w:pos="0"/>
          <w:tab w:val="clear" w:leader="none" w:pos="709"/>
          <w:tab w:val="left" w:leader="none" w:pos="1418"/>
          <w:tab w:val="left" w:leader="none" w:pos="1701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16.8.1 –16.8.2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925"/>
        <w:numPr>
          <w:ilvl w:val="1"/>
          <w:numId w:val="3"/>
        </w:numPr>
        <w:pBdr/>
        <w:spacing w:line="240" w:lineRule="auto"/>
        <w:ind w:right="0" w:firstLine="567" w:left="0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Во избежание сомнений, кроме случаев, ко</w:t>
      </w:r>
      <w:r>
        <w:rPr>
          <w:bCs/>
          <w:sz w:val="24"/>
          <w:szCs w:val="24"/>
          <w:highlight w:val="none"/>
        </w:rPr>
        <w:t xml:space="preserve">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</w:t>
      </w:r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left" w:leader="none" w:pos="568"/>
          <w:tab w:val="clear" w:leader="none" w:pos="709"/>
        </w:tabs>
        <w:spacing/>
        <w:ind w:right="0" w:firstLine="567" w:left="0"/>
        <w:jc w:val="both"/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Уступка, передача в залог прав (требований), принадлежащих Подрядчику на основании Договора, допускается только с предварительного письменного согласия Заказчика</w:t>
      </w:r>
      <w:r>
        <w:rPr>
          <w:rStyle w:val="960"/>
          <w:bCs/>
          <w:sz w:val="24"/>
          <w:szCs w:val="24"/>
          <w:highlight w:val="none"/>
        </w:rPr>
        <w:footnoteReference w:id="4"/>
      </w:r>
      <w:r>
        <w:rPr>
          <w:bCs/>
          <w:sz w:val="24"/>
          <w:szCs w:val="24"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left" w:leader="none" w:pos="568"/>
          <w:tab w:val="clear" w:leader="none" w:pos="709"/>
        </w:tabs>
        <w:spacing/>
        <w:ind w:right="0" w:firstLine="567" w:left="0"/>
        <w:jc w:val="both"/>
        <w:rPr>
          <w:highlight w:val="none"/>
        </w:rPr>
      </w:pPr>
      <w:r>
        <w:rPr>
          <w:rFonts w:ascii="Times New Roman;serif" w:hAnsi="Times New Roman;serif"/>
          <w:bCs/>
          <w:sz w:val="24"/>
          <w:szCs w:val="24"/>
          <w:highlight w:val="none"/>
          <w:shd w:val="clear" w:color="auto" w:fill="auto"/>
        </w:rPr>
        <w:t xml:space="preserve">В соответствии с действующим законодательством датой подписания Договора считается дата последнего подписанта.</w:t>
      </w:r>
      <w:r>
        <w:rPr>
          <w:highlight w:val="none"/>
        </w:rPr>
      </w:r>
      <w:r>
        <w:rPr>
          <w:highlight w:val="none"/>
        </w:rPr>
      </w:r>
    </w:p>
    <w:p>
      <w:pPr>
        <w:pStyle w:val="1024"/>
        <w:numPr>
          <w:ilvl w:val="1"/>
          <w:numId w:val="3"/>
        </w:numPr>
        <w:pBdr/>
        <w:shd w:val="clear" w:color="auto" w:fill="ffffff"/>
        <w:tabs>
          <w:tab w:val="clear" w:leader="none" w:pos="709"/>
          <w:tab w:val="left" w:leader="none" w:pos="1134"/>
          <w:tab w:val="left" w:leader="none" w:pos="1418"/>
        </w:tabs>
        <w:spacing/>
        <w:ind w:right="0" w:firstLine="567" w:left="0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Во всем остальном, что не урегулировано Договором, Стороны руководствуются законодательством Российской Федерации.</w:t>
      </w:r>
      <w:r>
        <w:rPr>
          <w:highlight w:val="none"/>
        </w:rPr>
      </w:r>
    </w:p>
    <w:p>
      <w:pPr>
        <w:pStyle w:val="1024"/>
        <w:pBdr/>
        <w:shd w:val="clear" w:color="auto" w:fill="ffffff"/>
        <w:spacing/>
        <w:ind w:firstLine="567" w:left="0"/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1024"/>
        <w:numPr>
          <w:ilvl w:val="0"/>
          <w:numId w:val="3"/>
        </w:numPr>
        <w:pBdr/>
        <w:shd w:val="clear" w:color="auto" w:fill="ffffff"/>
        <w:tabs>
          <w:tab w:val="left" w:leader="none" w:pos="426"/>
          <w:tab w:val="clear" w:leader="none" w:pos="709"/>
        </w:tabs>
        <w:spacing/>
        <w:ind w:firstLine="0" w:left="0"/>
        <w:jc w:val="center"/>
        <w:rPr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Список приложений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4"/>
        <w:pBdr/>
        <w:shd w:val="clear" w:color="auto" w:fill="ffffff"/>
        <w:spacing/>
        <w:ind w:firstLine="0" w:left="0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</w:t>
      </w:r>
      <w:r>
        <w:rPr>
          <w:bCs/>
          <w:sz w:val="24"/>
          <w:szCs w:val="24"/>
          <w:highlight w:val="none"/>
        </w:rPr>
        <w:t xml:space="preserve">1 – Техническое задание.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4"/>
        <w:pBdr/>
        <w:shd w:val="clear" w:color="auto" w:fill="ffffff"/>
        <w:spacing/>
        <w:ind w:firstLine="0" w:left="0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Приложение № 2.1 – Форма Акта сдачи-приемки места производства работ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4"/>
        <w:pBdr/>
        <w:shd w:val="clear" w:color="auto" w:fill="ffffff"/>
        <w:spacing/>
        <w:ind w:firstLine="0" w:left="0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Приложение № 2.2 – Форма Акта сдачи-приемки технической и иной документации.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4"/>
        <w:pBdr/>
        <w:shd w:val="clear" w:color="auto" w:fill="ffffff"/>
        <w:spacing/>
        <w:ind w:firstLine="0" w:left="0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Приложение № 3 – Перечень допусков, разрешений и лицензий Подрядчика.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4"/>
        <w:pBdr/>
        <w:shd w:val="clear" w:color="auto" w:fill="ffffff"/>
        <w:spacing/>
        <w:ind w:firstLine="0" w:left="0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Приложение № 4 – Перечень передаваемых Давальческих материалов и запасных частей.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4"/>
        <w:pBdr/>
        <w:shd w:val="clear" w:color="auto" w:fill="ffffff"/>
        <w:spacing/>
        <w:ind w:firstLine="0" w:left="0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Приложение № 5 – Порядок передачи и учета Давальческих материалов и запасных частей.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4"/>
        <w:pBdr/>
        <w:shd w:val="clear" w:color="auto" w:fill="ffffff"/>
        <w:spacing/>
        <w:ind w:firstLine="0" w:left="0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6 — Соглашение об использовании электронного документооборота.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4"/>
        <w:pBdr/>
        <w:shd w:val="clear" w:color="auto" w:fill="ffffff"/>
        <w:spacing/>
        <w:ind w:firstLine="0" w:left="0"/>
        <w:jc w:val="both"/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1024"/>
        <w:numPr>
          <w:ilvl w:val="0"/>
          <w:numId w:val="3"/>
        </w:numPr>
        <w:pBdr/>
        <w:shd w:val="clear" w:color="auto" w:fill="ffffff"/>
        <w:tabs>
          <w:tab w:val="left" w:leader="none" w:pos="426"/>
          <w:tab w:val="clear" w:leader="none" w:pos="709"/>
        </w:tabs>
        <w:spacing/>
        <w:ind w:firstLine="0" w:left="0"/>
        <w:jc w:val="center"/>
        <w:rPr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Адреса и платежные реквизиты Сторон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4"/>
        <w:pBdr/>
        <w:shd w:val="clear" w:color="auto" w:fill="ffffff"/>
        <w:tabs>
          <w:tab w:val="left" w:leader="none" w:pos="426"/>
          <w:tab w:val="clear" w:leader="none" w:pos="709"/>
        </w:tabs>
        <w:spacing/>
        <w:ind w:firstLine="0" w:left="0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</w:p>
    <w:tbl>
      <w:tblPr>
        <w:tblW w:w="9890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765"/>
        <w:gridCol w:w="163"/>
        <w:gridCol w:w="4617"/>
        <w:gridCol w:w="345"/>
      </w:tblGrid>
      <w:tr>
        <w:trPr/>
        <w:tc>
          <w:tcPr>
            <w:gridSpan w:val="2"/>
            <w:tcBorders/>
            <w:tcW w:w="4928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ЗАКАЗЧИК: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/>
            <w:tcW w:w="4962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ПОДРЯДЧИК: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/>
        <w:tc>
          <w:tcPr>
            <w:gridSpan w:val="2"/>
            <w:tcBorders/>
            <w:tcW w:w="4928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Акционерное общество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«Сахаэнерго» (АО «Сахаэнерго»)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Юр. адрес: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678400, Республика Саха (Якутия), Булунский улус, п. Тикси, ул. Морская, д. 5, корп. 1.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Почтовый адрес: 677001, Республика Саха (Якутия), г. Якутск, пер. Энергет</w:t>
            </w:r>
            <w:r>
              <w:rPr>
                <w:sz w:val="24"/>
                <w:szCs w:val="24"/>
                <w:highlight w:val="none"/>
              </w:rPr>
              <w:t xml:space="preserve">иков 2.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ОГРН 1021401044830,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ИНН 1435117944 / КПП 140601001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р/с </w:t>
            </w:r>
            <w:r>
              <w:rPr>
                <w:sz w:val="24"/>
                <w:szCs w:val="24"/>
                <w:highlight w:val="none"/>
              </w:rPr>
              <w:t xml:space="preserve">40702810300000100407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БАНК ГПБ (АО), г. Москва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к/с </w:t>
            </w:r>
            <w:r>
              <w:rPr>
                <w:sz w:val="24"/>
                <w:szCs w:val="24"/>
                <w:highlight w:val="none"/>
              </w:rPr>
              <w:t xml:space="preserve">30101810200000000823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БИК 044525823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тел. +7 (4112) 21-01-15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/>
            <w:tcW w:w="4962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(наименование юридического лица)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  <w:shd w:val="clear" w:color="auto" w:fill="ffdbb6"/>
              </w:rPr>
            </w:pPr>
            <w:r>
              <w:rPr>
                <w:sz w:val="24"/>
                <w:szCs w:val="24"/>
                <w:highlight w:val="none"/>
                <w:shd w:val="clear" w:color="auto" w:fill="ffdbb6"/>
              </w:rPr>
              <w:t xml:space="preserve">ID_______________________________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:shd w:val="clear" w:color="auto" w:fill="ffdbb6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  <w:shd w:val="clear" w:color="auto" w:fill="ffdbb6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Место нахождения: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Почтовый адрес: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ОГРН 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(БИК банка)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телефона)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факса)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</w:tr>
      <w:tr>
        <w:trPr/>
        <w:tc>
          <w:tcPr>
            <w:tcBorders/>
            <w:tcW w:w="476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/>
            <w:tcW w:w="4780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tcBorders/>
            <w:tcW w:w="34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hd w:val="clear" w:color="auto" w:fill="auto"/>
              <w:spacing/>
              <w:ind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</w:tr>
    </w:tbl>
    <w:p>
      <w:pPr>
        <w:pBdr/>
        <w:spacing/>
        <w:ind/>
        <w:rPr>
          <w:highlight w:val="none"/>
        </w:rPr>
        <w:sectPr>
          <w:headerReference w:type="default" r:id="rId9"/>
          <w:headerReference w:type="first" r:id="rId10"/>
          <w:footerReference w:type="default" r:id="rId15"/>
          <w:footnotePr>
            <w:numFmt w:val="decimal"/>
          </w:footnotePr>
          <w:endnotePr/>
          <w:type w:val="nextPage"/>
          <w:pgSz w:h="16838" w:orient="portrait" w:w="11906"/>
          <w:pgMar w:top="1134" w:right="851" w:bottom="1134" w:left="1418" w:header="709" w:footer="709" w:gutter="0"/>
          <w:cols w:num="1" w:sep="0" w:space="1701" w:equalWidth="1"/>
          <w:titlePg/>
        </w:sectPr>
      </w:pPr>
      <w:r>
        <w:rPr>
          <w:highlight w:val="none"/>
        </w:rPr>
      </w:r>
      <w:r>
        <w:rPr>
          <w:highlight w:val="none"/>
        </w:rPr>
      </w:r>
    </w:p>
    <w:p>
      <w:pPr>
        <w:pStyle w:val="925"/>
        <w:pBdr/>
        <w:spacing w:line="240" w:lineRule="auto"/>
        <w:ind w:firstLine="0" w:left="4820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1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4820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к Договору подряда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4820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от «____» __________ 20 _ г. № ________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1416"/>
        <w:jc w:val="right"/>
        <w:rPr>
          <w:rFonts w:ascii="Times New Roman" w:hAnsi="Times New Roman"/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1416"/>
        <w:rPr>
          <w:rFonts w:ascii="Times New Roman" w:hAnsi="Times New Roman"/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ТЕХНИЧЕСКОЕ ЗАДАНИЕ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keepNext w:val="true"/>
        <w:keepLines w:val="true"/>
        <w:pBdr/>
        <w:spacing w:after="0" w:before="0" w:line="240" w:lineRule="auto"/>
        <w:ind/>
        <w:jc w:val="center"/>
        <w:rPr>
          <w:rFonts w:ascii="Times New Roman" w:hAnsi="Times New Roman" w:eastAsia="Calibri" w:cs="Times New Roman"/>
          <w:b/>
          <w:sz w:val="20"/>
          <w:szCs w:val="20"/>
          <w:highlight w:val="none"/>
        </w:rPr>
      </w:pPr>
      <w:r>
        <w:rPr>
          <w:rFonts w:eastAsia="Calibri" w:cs="Times New Roman"/>
          <w:b/>
          <w:sz w:val="20"/>
          <w:szCs w:val="20"/>
          <w:highlight w:val="none"/>
          <w:lang w:eastAsia="ru-RU"/>
        </w:rPr>
        <w:t xml:space="preserve">ОКПД2 - 25.99.2 Выполнение работ по изготовлению деталей для ремонта днища баржи МП-314</w:t>
      </w:r>
      <w:r>
        <w:rPr>
          <w:rFonts w:ascii="Times New Roman" w:hAnsi="Times New Roman" w:eastAsia="Calibri" w:cs="Times New Roman"/>
          <w:b/>
          <w:sz w:val="20"/>
          <w:szCs w:val="20"/>
          <w:highlight w:val="none"/>
          <w:lang w:eastAsia="ru-RU"/>
        </w:rPr>
      </w:r>
      <w:r>
        <w:rPr>
          <w:rFonts w:ascii="Times New Roman" w:hAnsi="Times New Roman" w:eastAsia="Calibri" w:cs="Times New Roman"/>
          <w:b/>
          <w:sz w:val="20"/>
          <w:szCs w:val="20"/>
          <w:highlight w:val="none"/>
          <w:lang w:eastAsia="ru-RU"/>
        </w:rPr>
      </w:r>
    </w:p>
    <w:p>
      <w:pPr>
        <w:pStyle w:val="925"/>
        <w:pBdr/>
        <w:spacing w:after="0" w:before="0" w:line="240" w:lineRule="auto"/>
        <w:ind/>
        <w:jc w:val="center"/>
        <w:rPr>
          <w:rFonts w:ascii="Times New Roman" w:hAnsi="Times New Roman" w:eastAsia="Calibri" w:cs="Times New Roman"/>
          <w:b/>
          <w:sz w:val="20"/>
          <w:szCs w:val="20"/>
          <w:highlight w:val="none"/>
        </w:rPr>
      </w:pPr>
      <w:r>
        <w:rPr>
          <w:rFonts w:eastAsia="Calibri" w:cs="Times New Roman"/>
          <w:b/>
          <w:sz w:val="20"/>
          <w:szCs w:val="20"/>
          <w:highlight w:val="none"/>
          <w:lang w:eastAsia="ru-RU"/>
        </w:rPr>
        <w:t xml:space="preserve">для нужд АО «Сахаэнерго»</w:t>
      </w:r>
      <w:r>
        <w:rPr>
          <w:rFonts w:ascii="Times New Roman" w:hAnsi="Times New Roman" w:eastAsia="Calibri" w:cs="Times New Roman"/>
          <w:b/>
          <w:sz w:val="20"/>
          <w:szCs w:val="20"/>
          <w:highlight w:val="none"/>
          <w:lang w:eastAsia="ru-RU"/>
        </w:rPr>
      </w:r>
      <w:r>
        <w:rPr>
          <w:rFonts w:ascii="Times New Roman" w:hAnsi="Times New Roman" w:eastAsia="Calibri" w:cs="Times New Roman"/>
          <w:b/>
          <w:sz w:val="20"/>
          <w:szCs w:val="20"/>
          <w:highlight w:val="none"/>
          <w:lang w:eastAsia="ru-RU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after="0" w:before="0" w:line="240" w:lineRule="auto"/>
        <w:ind/>
        <w:jc w:val="center"/>
        <w:rPr>
          <w:rFonts w:ascii="Times New Roman" w:hAnsi="Times New Roman" w:eastAsia="Times New Roman" w:cs="Times New Roman"/>
          <w:b/>
          <w:sz w:val="20"/>
          <w:szCs w:val="20"/>
          <w:highlight w:val="none"/>
        </w:rPr>
      </w:pPr>
      <w:r>
        <w:rPr>
          <w:rFonts w:eastAsia="Times New Roman" w:cs="Times New Roman"/>
          <w:b/>
          <w:sz w:val="20"/>
          <w:szCs w:val="20"/>
          <w:highlight w:val="none"/>
          <w:lang w:eastAsia="ru-RU"/>
        </w:rPr>
        <w:t xml:space="preserve">СОДЕРЖАНИЕ</w:t>
      </w:r>
      <w:r>
        <w:rPr>
          <w:rFonts w:ascii="Times New Roman" w:hAnsi="Times New Roman" w:eastAsia="Times New Roman" w:cs="Times New Roman"/>
          <w:b/>
          <w:sz w:val="20"/>
          <w:szCs w:val="20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highlight w:val="none"/>
          <w:lang w:eastAsia="ru-RU"/>
        </w:rPr>
      </w:r>
    </w:p>
    <w:p>
      <w:pPr>
        <w:pStyle w:val="925"/>
        <w:pBdr/>
        <w:spacing w:after="0" w:before="0" w:line="240" w:lineRule="auto"/>
        <w:ind/>
        <w:contextualSpacing w:val="true"/>
        <w:jc w:val="center"/>
        <w:rPr>
          <w:rFonts w:ascii="Times New Roman" w:hAnsi="Times New Roman" w:eastAsia="Calibri" w:cs="Times New Roman"/>
          <w:b/>
          <w:sz w:val="20"/>
          <w:szCs w:val="20"/>
          <w:highlight w:val="none"/>
        </w:rPr>
      </w:pPr>
      <w:r>
        <w:rPr>
          <w:rFonts w:eastAsia="Calibri" w:cs="Times New Roman"/>
          <w:b/>
          <w:sz w:val="20"/>
          <w:szCs w:val="20"/>
          <w:highlight w:val="none"/>
        </w:rPr>
      </w:r>
      <w:r>
        <w:rPr>
          <w:rFonts w:ascii="Times New Roman" w:hAnsi="Times New Roman" w:eastAsia="Calibri" w:cs="Times New Roman"/>
          <w:b/>
          <w:sz w:val="20"/>
          <w:szCs w:val="20"/>
          <w:highlight w:val="none"/>
        </w:rPr>
      </w:r>
      <w:r>
        <w:rPr>
          <w:rFonts w:ascii="Times New Roman" w:hAnsi="Times New Roman" w:eastAsia="Calibri" w:cs="Times New Roman"/>
          <w:b/>
          <w:sz w:val="20"/>
          <w:szCs w:val="20"/>
          <w:highlight w:val="none"/>
        </w:rPr>
      </w:r>
    </w:p>
    <w:p>
      <w:pPr>
        <w:pStyle w:val="925"/>
        <w:pBdr/>
        <w:spacing w:after="0" w:before="0" w:line="240" w:lineRule="auto"/>
        <w:ind/>
        <w:contextualSpacing w:val="true"/>
        <w:jc w:val="center"/>
        <w:rPr>
          <w:rFonts w:ascii="Times New Roman" w:hAnsi="Times New Roman" w:eastAsia="Calibri" w:cs="Times New Roman"/>
          <w:b/>
          <w:sz w:val="20"/>
          <w:szCs w:val="20"/>
          <w:highlight w:val="none"/>
        </w:rPr>
      </w:pPr>
      <w:r>
        <w:rPr>
          <w:rFonts w:eastAsia="Calibri" w:cs="Times New Roman"/>
          <w:b/>
          <w:sz w:val="20"/>
          <w:szCs w:val="20"/>
          <w:highlight w:val="none"/>
        </w:rPr>
      </w:r>
      <w:r>
        <w:rPr>
          <w:rFonts w:ascii="Times New Roman" w:hAnsi="Times New Roman" w:eastAsia="Calibri" w:cs="Times New Roman"/>
          <w:b/>
          <w:sz w:val="20"/>
          <w:szCs w:val="20"/>
          <w:highlight w:val="none"/>
        </w:rPr>
      </w:r>
      <w:r>
        <w:rPr>
          <w:rFonts w:ascii="Times New Roman" w:hAnsi="Times New Roman" w:eastAsia="Calibri" w:cs="Times New Roman"/>
          <w:b/>
          <w:sz w:val="20"/>
          <w:szCs w:val="20"/>
          <w:highlight w:val="none"/>
        </w:rPr>
      </w:r>
    </w:p>
    <w:p>
      <w:pPr>
        <w:pStyle w:val="925"/>
        <w:pBdr/>
        <w:spacing w:after="0" w:before="0" w:line="240" w:lineRule="auto"/>
        <w:ind/>
        <w:contextualSpacing w:val="true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1. Общие сведения</w:t>
        <w:tab/>
        <w:tab/>
        <w:tab/>
        <w:tab/>
        <w:tab/>
        <w:tab/>
        <w:tab/>
        <w:tab/>
        <w:tab/>
        <w:tab/>
        <w:t xml:space="preserve">3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pStyle w:val="925"/>
        <w:pBdr/>
        <w:spacing w:after="0" w:before="0" w:line="240" w:lineRule="auto"/>
        <w:ind/>
        <w:contextualSpacing w:val="true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1.1 Обозначения и сокращения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ab/>
        <w:tab/>
        <w:tab/>
        <w:tab/>
        <w:tab/>
        <w:tab/>
        <w:tab/>
        <w:tab/>
        <w:tab/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pStyle w:val="925"/>
        <w:pBdr/>
        <w:spacing w:after="0" w:before="0" w:line="240" w:lineRule="auto"/>
        <w:ind/>
        <w:contextualSpacing w:val="true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ascii="Times New Roman" w:hAnsi="Times New Roman" w:eastAsia="Calibri" w:cs="Times New Roman"/>
          <w:sz w:val="20"/>
          <w:szCs w:val="20"/>
        </w:rPr>
        <w:t xml:space="preserve">1.2 </w:t>
      </w:r>
      <w:r>
        <w:rPr>
          <w:rFonts w:ascii="Times New Roman" w:hAnsi="Times New Roman" w:eastAsia="Calibri" w:cs="Times New Roman"/>
          <w:sz w:val="20"/>
          <w:szCs w:val="20"/>
        </w:rPr>
        <w:t xml:space="preserve">Наименование закупаемой продукции</w:t>
      </w:r>
      <w:r>
        <w:rPr>
          <w:rFonts w:ascii="Times New Roman" w:hAnsi="Times New Roman" w:eastAsia="Calibri" w:cs="Times New Roman"/>
          <w:sz w:val="20"/>
          <w:szCs w:val="20"/>
        </w:rPr>
        <w:tab/>
        <w:tab/>
        <w:tab/>
        <w:tab/>
        <w:tab/>
        <w:tab/>
        <w:tab/>
        <w:tab/>
        <w:t xml:space="preserve">3</w:t>
      </w:r>
      <w:r>
        <w:rPr>
          <w:rFonts w:ascii="Times New Roman" w:hAnsi="Times New Roman" w:eastAsia="Calibri" w:cs="Times New Roman"/>
          <w:sz w:val="20"/>
          <w:szCs w:val="20"/>
        </w:rPr>
      </w:r>
      <w:r>
        <w:rPr>
          <w:rFonts w:ascii="Times New Roman" w:hAnsi="Times New Roman" w:eastAsia="Calibri" w:cs="Times New Roman"/>
          <w:sz w:val="20"/>
          <w:szCs w:val="20"/>
        </w:rPr>
      </w:r>
    </w:p>
    <w:p>
      <w:pPr>
        <w:pStyle w:val="925"/>
        <w:pBdr/>
        <w:spacing w:after="0" w:before="0" w:line="240" w:lineRule="auto"/>
        <w:ind/>
        <w:contextualSpacing w:val="true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ascii="Times New Roman" w:hAnsi="Times New Roman" w:eastAsia="Calibri" w:cs="Times New Roman"/>
          <w:sz w:val="20"/>
          <w:szCs w:val="20"/>
        </w:rPr>
        <w:t xml:space="preserve">1.3 </w:t>
      </w:r>
      <w:r>
        <w:rPr>
          <w:rFonts w:ascii="Times New Roman" w:hAnsi="Times New Roman" w:eastAsia="Calibri" w:cs="Times New Roman"/>
          <w:sz w:val="20"/>
          <w:szCs w:val="20"/>
        </w:rPr>
        <w:t xml:space="preserve">Цель оказания услуг</w:t>
      </w:r>
      <w:r>
        <w:rPr>
          <w:rFonts w:ascii="Times New Roman" w:hAnsi="Times New Roman" w:eastAsia="Calibri" w:cs="Times New Roman"/>
          <w:sz w:val="20"/>
          <w:szCs w:val="20"/>
        </w:rPr>
        <w:tab/>
        <w:tab/>
        <w:tab/>
        <w:tab/>
        <w:tab/>
        <w:tab/>
        <w:tab/>
        <w:tab/>
        <w:tab/>
        <w:tab/>
        <w:t xml:space="preserve">3</w:t>
      </w:r>
      <w:r>
        <w:rPr>
          <w:rFonts w:ascii="Times New Roman" w:hAnsi="Times New Roman" w:eastAsia="Calibri" w:cs="Times New Roman"/>
          <w:sz w:val="20"/>
          <w:szCs w:val="20"/>
        </w:rPr>
      </w:r>
      <w:r>
        <w:rPr>
          <w:rFonts w:ascii="Times New Roman" w:hAnsi="Times New Roman" w:eastAsia="Calibri" w:cs="Times New Roman"/>
          <w:sz w:val="20"/>
          <w:szCs w:val="20"/>
        </w:rPr>
      </w:r>
    </w:p>
    <w:p>
      <w:pPr>
        <w:pStyle w:val="925"/>
        <w:pBdr/>
        <w:spacing w:after="0" w:before="0" w:line="240" w:lineRule="auto"/>
        <w:ind/>
        <w:contextualSpacing w:val="true"/>
        <w:rPr>
          <w:rFonts w:ascii="Times New Roman" w:hAnsi="Times New Roman" w:eastAsia="Calibri" w:cs="Times New Roman"/>
          <w:b/>
          <w:bCs/>
          <w:sz w:val="20"/>
          <w:szCs w:val="20"/>
          <w:highlight w:val="none"/>
        </w:rPr>
      </w:pPr>
      <w:r>
        <w:rPr>
          <w:rFonts w:ascii="Times New Roman" w:hAnsi="Times New Roman" w:eastAsia="Calibri" w:cs="Times New Roman"/>
          <w:b/>
          <w:bCs/>
          <w:sz w:val="20"/>
          <w:szCs w:val="20"/>
        </w:rPr>
        <w:t xml:space="preserve">2. Требования  к продукции</w:t>
        <w:tab/>
        <w:tab/>
        <w:tab/>
        <w:tab/>
        <w:tab/>
        <w:tab/>
        <w:tab/>
        <w:tab/>
        <w:tab/>
        <w:t xml:space="preserve">3</w:t>
      </w:r>
      <w:r>
        <w:rPr>
          <w:rFonts w:ascii="Times New Roman" w:hAnsi="Times New Roman" w:eastAsia="Calibri" w:cs="Times New Roman"/>
          <w:b/>
          <w:bCs/>
          <w:sz w:val="20"/>
          <w:szCs w:val="20"/>
          <w:highlight w:val="none"/>
        </w:rPr>
      </w:r>
      <w:r>
        <w:rPr>
          <w:rFonts w:ascii="Times New Roman" w:hAnsi="Times New Roman" w:eastAsia="Calibri" w:cs="Times New Roman"/>
          <w:b/>
          <w:bCs/>
          <w:sz w:val="20"/>
          <w:szCs w:val="20"/>
          <w:highlight w:val="none"/>
        </w:rPr>
      </w:r>
    </w:p>
    <w:p>
      <w:pPr>
        <w:pStyle w:val="925"/>
        <w:pBdr/>
        <w:spacing w:after="0" w:before="0" w:line="240" w:lineRule="auto"/>
        <w:ind/>
        <w:contextualSpacing w:val="true"/>
        <w:rPr>
          <w:rFonts w:ascii="Times New Roman" w:hAnsi="Times New Roman" w:cs="Times New Roman"/>
          <w:b w:val="0"/>
          <w:bCs w:val="0"/>
          <w:sz w:val="20"/>
          <w:szCs w:val="20"/>
          <w:highlight w:val="none"/>
        </w:rPr>
      </w:pPr>
      <w:r>
        <w:rPr>
          <w:rFonts w:ascii="Times New Roman" w:hAnsi="Times New Roman" w:eastAsia="Calibri" w:cs="Times New Roman"/>
          <w:b w:val="0"/>
          <w:bCs w:val="0"/>
          <w:sz w:val="20"/>
          <w:szCs w:val="20"/>
          <w:highlight w:val="none"/>
        </w:rPr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2.1. Требования к объемам и срокам оказания услуг</w:t>
        <w:tab/>
        <w:tab/>
        <w:tab/>
        <w:tab/>
        <w:tab/>
        <w:tab/>
        <w:t xml:space="preserve">3</w:t>
      </w:r>
      <w:r>
        <w:rPr>
          <w:rFonts w:ascii="Times New Roman" w:hAnsi="Times New Roman" w:cs="Times New Roman"/>
          <w:b w:val="0"/>
          <w:bCs w:val="0"/>
          <w:sz w:val="20"/>
          <w:szCs w:val="20"/>
          <w:highlight w:val="none"/>
        </w:rPr>
      </w:r>
      <w:r>
        <w:rPr>
          <w:rFonts w:ascii="Times New Roman" w:hAnsi="Times New Roman" w:cs="Times New Roman"/>
          <w:b w:val="0"/>
          <w:bCs w:val="0"/>
          <w:sz w:val="20"/>
          <w:szCs w:val="20"/>
          <w:highlight w:val="none"/>
        </w:rPr>
      </w:r>
    </w:p>
    <w:p>
      <w:pPr>
        <w:pStyle w:val="925"/>
        <w:pBdr/>
        <w:spacing w:after="0" w:before="0" w:line="240" w:lineRule="auto"/>
        <w:ind/>
        <w:contextualSpacing w:val="true"/>
        <w:rPr>
          <w:rFonts w:ascii="Times New Roman" w:hAnsi="Times New Roman" w:cs="Times New Roman"/>
          <w:b w:val="0"/>
          <w:bCs w:val="0"/>
          <w:sz w:val="20"/>
          <w:szCs w:val="20"/>
          <w:highlight w:val="none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highlight w:val="none"/>
        </w:rPr>
        <w:t xml:space="preserve">2.1.1. </w:t>
      </w:r>
      <w:r>
        <w:rPr>
          <w:rFonts w:ascii="Times New Roman" w:hAnsi="Times New Roman" w:cs="Times New Roman"/>
          <w:b w:val="0"/>
          <w:bCs w:val="0"/>
          <w:sz w:val="20"/>
          <w:szCs w:val="20"/>
          <w:highlight w:val="none"/>
        </w:rPr>
        <w:t xml:space="preserve">Перечень объектов заказчика</w:t>
      </w:r>
      <w:r>
        <w:rPr>
          <w:rFonts w:ascii="Times New Roman" w:hAnsi="Times New Roman" w:cs="Times New Roman"/>
          <w:b w:val="0"/>
          <w:bCs w:val="0"/>
          <w:sz w:val="20"/>
          <w:szCs w:val="20"/>
          <w:highlight w:val="none"/>
        </w:rPr>
        <w:tab/>
        <w:tab/>
        <w:tab/>
        <w:tab/>
        <w:tab/>
        <w:tab/>
        <w:tab/>
        <w:tab/>
        <w:t xml:space="preserve">3</w:t>
      </w:r>
      <w:r>
        <w:rPr>
          <w:rFonts w:ascii="Times New Roman" w:hAnsi="Times New Roman" w:cs="Times New Roman"/>
          <w:b w:val="0"/>
          <w:bCs w:val="0"/>
          <w:sz w:val="20"/>
          <w:szCs w:val="20"/>
          <w:highlight w:val="none"/>
        </w:rPr>
      </w:r>
      <w:r>
        <w:rPr>
          <w:rFonts w:ascii="Times New Roman" w:hAnsi="Times New Roman" w:cs="Times New Roman"/>
          <w:b w:val="0"/>
          <w:bCs w:val="0"/>
          <w:sz w:val="20"/>
          <w:szCs w:val="20"/>
          <w:highlight w:val="none"/>
        </w:rPr>
      </w:r>
    </w:p>
    <w:p>
      <w:pPr>
        <w:pStyle w:val="925"/>
        <w:pBdr/>
        <w:spacing w:after="0" w:before="0" w:line="240" w:lineRule="auto"/>
        <w:ind/>
        <w:contextualSpacing w:val="true"/>
        <w:rPr>
          <w:rFonts w:ascii="Times New Roman" w:hAnsi="Times New Roman" w:eastAsia="Calibri" w:cs="Times New Roman"/>
          <w:b w:val="0"/>
          <w:bCs w:val="0"/>
          <w:sz w:val="20"/>
          <w:szCs w:val="20"/>
        </w:rPr>
      </w:pPr>
      <w:r>
        <w:rPr>
          <w:rFonts w:ascii="Times New Roman" w:hAnsi="Times New Roman" w:eastAsia="Calibri" w:cs="Times New Roman"/>
          <w:b w:val="0"/>
          <w:bCs w:val="0"/>
          <w:sz w:val="20"/>
          <w:szCs w:val="20"/>
        </w:rPr>
        <w:t xml:space="preserve">2.1.2. </w:t>
      </w:r>
      <w:r>
        <w:rPr>
          <w:rFonts w:ascii="Times New Roman" w:hAnsi="Times New Roman" w:eastAsia="Calibri" w:cs="Times New Roman"/>
          <w:b w:val="0"/>
          <w:bCs w:val="0"/>
          <w:sz w:val="20"/>
          <w:szCs w:val="20"/>
        </w:rPr>
        <w:t xml:space="preserve">Требования к перечню и объему услуг</w:t>
      </w:r>
      <w:r>
        <w:rPr>
          <w:rFonts w:ascii="Times New Roman" w:hAnsi="Times New Roman" w:eastAsia="Calibri" w:cs="Times New Roman"/>
          <w:b w:val="0"/>
          <w:bCs w:val="0"/>
          <w:sz w:val="20"/>
          <w:szCs w:val="20"/>
        </w:rPr>
        <w:tab/>
        <w:tab/>
        <w:tab/>
        <w:tab/>
        <w:tab/>
        <w:tab/>
        <w:tab/>
        <w:t xml:space="preserve">4</w:t>
      </w:r>
      <w:r>
        <w:rPr>
          <w:rFonts w:ascii="Times New Roman" w:hAnsi="Times New Roman" w:eastAsia="Calibri" w:cs="Times New Roman"/>
          <w:b w:val="0"/>
          <w:bCs w:val="0"/>
          <w:sz w:val="20"/>
          <w:szCs w:val="20"/>
        </w:rPr>
      </w:r>
      <w:r>
        <w:rPr>
          <w:rFonts w:ascii="Times New Roman" w:hAnsi="Times New Roman" w:eastAsia="Calibri" w:cs="Times New Roman"/>
          <w:b w:val="0"/>
          <w:bCs w:val="0"/>
          <w:sz w:val="20"/>
          <w:szCs w:val="20"/>
        </w:rPr>
      </w:r>
    </w:p>
    <w:p>
      <w:pPr>
        <w:pStyle w:val="925"/>
        <w:pBdr/>
        <w:spacing w:after="0" w:before="0" w:line="240" w:lineRule="auto"/>
        <w:ind/>
        <w:contextualSpacing w:val="true"/>
        <w:rPr>
          <w:rFonts w:ascii="Times New Roman" w:hAnsi="Times New Roman" w:eastAsia="Calibri" w:cs="Times New Roman"/>
          <w:b w:val="0"/>
          <w:bCs w:val="0"/>
          <w:sz w:val="20"/>
          <w:szCs w:val="20"/>
        </w:rPr>
      </w:pPr>
      <w:r>
        <w:rPr>
          <w:rFonts w:ascii="Times New Roman" w:hAnsi="Times New Roman" w:eastAsia="Calibri" w:cs="Times New Roman"/>
          <w:b w:val="0"/>
          <w:bCs w:val="0"/>
          <w:sz w:val="20"/>
          <w:szCs w:val="20"/>
        </w:rPr>
        <w:t xml:space="preserve">2.1.3. </w:t>
      </w:r>
      <w:r>
        <w:rPr>
          <w:rFonts w:ascii="Times New Roman" w:hAnsi="Times New Roman" w:eastAsia="Calibri" w:cs="Times New Roman"/>
          <w:b w:val="0"/>
          <w:bCs w:val="0"/>
          <w:sz w:val="20"/>
          <w:szCs w:val="20"/>
        </w:rPr>
        <w:t xml:space="preserve">Требования к срокам услуг</w:t>
      </w:r>
      <w:r>
        <w:rPr>
          <w:rFonts w:ascii="Times New Roman" w:hAnsi="Times New Roman" w:eastAsia="Calibri" w:cs="Times New Roman"/>
          <w:b w:val="0"/>
          <w:bCs w:val="0"/>
          <w:sz w:val="20"/>
          <w:szCs w:val="20"/>
        </w:rPr>
        <w:tab/>
        <w:tab/>
        <w:tab/>
        <w:tab/>
        <w:tab/>
        <w:tab/>
        <w:tab/>
        <w:tab/>
        <w:tab/>
        <w:t xml:space="preserve">4</w:t>
      </w:r>
      <w:r>
        <w:rPr>
          <w:rFonts w:ascii="Times New Roman" w:hAnsi="Times New Roman" w:eastAsia="Calibri" w:cs="Times New Roman"/>
          <w:b w:val="0"/>
          <w:bCs w:val="0"/>
          <w:sz w:val="20"/>
          <w:szCs w:val="20"/>
        </w:rPr>
      </w:r>
      <w:r>
        <w:rPr>
          <w:rFonts w:ascii="Times New Roman" w:hAnsi="Times New Roman" w:eastAsia="Calibri" w:cs="Times New Roman"/>
          <w:b w:val="0"/>
          <w:bCs w:val="0"/>
          <w:sz w:val="20"/>
          <w:szCs w:val="20"/>
        </w:rPr>
      </w:r>
    </w:p>
    <w:p>
      <w:pPr>
        <w:pStyle w:val="925"/>
        <w:pBdr/>
        <w:spacing w:after="0" w:before="0" w:line="240" w:lineRule="auto"/>
        <w:ind/>
        <w:contextualSpacing w:val="true"/>
        <w:rPr>
          <w:rFonts w:ascii="Times New Roman" w:hAnsi="Times New Roman" w:cs="Times New Roman"/>
          <w:b/>
          <w:bCs/>
          <w:sz w:val="20"/>
          <w:szCs w:val="20"/>
          <w:highlight w:val="none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none"/>
        </w:rPr>
        <w:t xml:space="preserve">3. </w:t>
      </w:r>
      <w:r>
        <w:rPr>
          <w:rFonts w:ascii="Times New Roman" w:hAnsi="Times New Roman" w:cs="Times New Roman"/>
          <w:b/>
          <w:bCs/>
          <w:sz w:val="20"/>
          <w:szCs w:val="20"/>
          <w:highlight w:val="none"/>
        </w:rPr>
        <w:t xml:space="preserve">Требования к качеству услуг</w:t>
      </w:r>
      <w:r>
        <w:rPr>
          <w:rFonts w:ascii="Times New Roman" w:hAnsi="Times New Roman" w:cs="Times New Roman"/>
          <w:b/>
          <w:bCs/>
          <w:sz w:val="20"/>
          <w:szCs w:val="20"/>
          <w:highlight w:val="none"/>
        </w:rPr>
        <w:tab/>
        <w:tab/>
        <w:tab/>
        <w:tab/>
        <w:tab/>
        <w:tab/>
        <w:tab/>
        <w:tab/>
        <w:tab/>
        <w:t xml:space="preserve">6</w:t>
      </w:r>
      <w:r>
        <w:rPr>
          <w:rFonts w:ascii="Times New Roman" w:hAnsi="Times New Roman" w:cs="Times New Roman"/>
          <w:b/>
          <w:bCs/>
          <w:sz w:val="20"/>
          <w:szCs w:val="20"/>
          <w:highlight w:val="none"/>
        </w:rPr>
      </w:r>
      <w:r>
        <w:rPr>
          <w:rFonts w:ascii="Times New Roman" w:hAnsi="Times New Roman" w:cs="Times New Roman"/>
          <w:b/>
          <w:bCs/>
          <w:sz w:val="20"/>
          <w:szCs w:val="20"/>
          <w:highlight w:val="none"/>
        </w:rPr>
      </w:r>
    </w:p>
    <w:p>
      <w:pPr>
        <w:pStyle w:val="925"/>
        <w:pBdr/>
        <w:spacing w:after="0" w:before="0" w:line="240" w:lineRule="auto"/>
        <w:ind/>
        <w:rPr>
          <w:rFonts w:ascii="Times New Roman" w:hAnsi="Times New Roman" w:cs="Times New Roman"/>
          <w:sz w:val="20"/>
          <w:szCs w:val="20"/>
          <w:highlight w:val="none"/>
        </w:rPr>
      </w:pPr>
      <w:r>
        <w:rPr>
          <w:rFonts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  <w:highlight w:val="none"/>
        </w:rPr>
      </w:r>
    </w:p>
    <w:p>
      <w:pPr>
        <w:pStyle w:val="925"/>
        <w:pBdr/>
        <w:spacing w:after="0" w:before="0" w:line="240" w:lineRule="auto"/>
        <w:ind/>
        <w:rPr>
          <w:rFonts w:ascii="Times New Roman" w:hAnsi="Times New Roman" w:cs="Times New Roman"/>
          <w:b/>
          <w:sz w:val="20"/>
          <w:szCs w:val="20"/>
          <w:highlight w:val="none"/>
        </w:rPr>
      </w:pPr>
      <w:r>
        <w:rPr>
          <w:rFonts w:cs="Times New Roman"/>
          <w:b/>
          <w:sz w:val="20"/>
          <w:szCs w:val="20"/>
          <w:highlight w:val="none"/>
        </w:rPr>
      </w:r>
      <w:r>
        <w:rPr>
          <w:rFonts w:ascii="Times New Roman" w:hAnsi="Times New Roman" w:cs="Times New Roman"/>
          <w:b/>
          <w:sz w:val="20"/>
          <w:szCs w:val="20"/>
          <w:highlight w:val="none"/>
        </w:rPr>
      </w:r>
      <w:r>
        <w:rPr>
          <w:rFonts w:ascii="Times New Roman" w:hAnsi="Times New Roman" w:cs="Times New Roman"/>
          <w:b/>
          <w:sz w:val="20"/>
          <w:szCs w:val="20"/>
          <w:highlight w:val="none"/>
        </w:rPr>
      </w:r>
    </w:p>
    <w:p>
      <w:pPr>
        <w:pStyle w:val="925"/>
        <w:pBdr/>
        <w:spacing w:after="0" w:before="0" w:line="240" w:lineRule="auto"/>
        <w:ind/>
        <w:rPr>
          <w:rFonts w:ascii="Times New Roman" w:hAnsi="Times New Roman" w:cs="Times New Roman"/>
          <w:b/>
          <w:sz w:val="20"/>
          <w:szCs w:val="20"/>
          <w:highlight w:val="none"/>
        </w:rPr>
      </w:pPr>
      <w:r>
        <w:rPr>
          <w:rFonts w:cs="Times New Roman"/>
          <w:b/>
          <w:sz w:val="20"/>
          <w:szCs w:val="20"/>
          <w:highlight w:val="none"/>
        </w:rPr>
      </w:r>
      <w:r>
        <w:rPr>
          <w:rFonts w:ascii="Times New Roman" w:hAnsi="Times New Roman" w:cs="Times New Roman"/>
          <w:b/>
          <w:sz w:val="20"/>
          <w:szCs w:val="20"/>
          <w:highlight w:val="none"/>
        </w:rPr>
      </w:r>
      <w:r>
        <w:rPr>
          <w:rFonts w:ascii="Times New Roman" w:hAnsi="Times New Roman" w:cs="Times New Roman"/>
          <w:b/>
          <w:sz w:val="20"/>
          <w:szCs w:val="20"/>
          <w:highlight w:val="none"/>
        </w:rPr>
      </w:r>
    </w:p>
    <w:p>
      <w:pPr>
        <w:pStyle w:val="925"/>
        <w:pBdr/>
        <w:spacing w:after="0" w:before="0" w:line="240" w:lineRule="auto"/>
        <w:ind/>
        <w:rPr>
          <w:rFonts w:ascii="Times New Roman" w:hAnsi="Times New Roman" w:cs="Times New Roman"/>
          <w:b/>
          <w:sz w:val="20"/>
          <w:szCs w:val="20"/>
          <w:highlight w:val="none"/>
        </w:rPr>
      </w:pPr>
      <w:r>
        <w:rPr>
          <w:rFonts w:cs="Times New Roman"/>
          <w:b/>
          <w:sz w:val="20"/>
          <w:szCs w:val="20"/>
          <w:highlight w:val="none"/>
        </w:rPr>
      </w:r>
      <w:r>
        <w:rPr>
          <w:rFonts w:ascii="Times New Roman" w:hAnsi="Times New Roman" w:cs="Times New Roman"/>
          <w:b/>
          <w:sz w:val="20"/>
          <w:szCs w:val="20"/>
          <w:highlight w:val="none"/>
        </w:rPr>
      </w:r>
      <w:r>
        <w:rPr>
          <w:rFonts w:ascii="Times New Roman" w:hAnsi="Times New Roman" w:cs="Times New Roman"/>
          <w:b/>
          <w:sz w:val="20"/>
          <w:szCs w:val="20"/>
          <w:highlight w:val="none"/>
        </w:rPr>
      </w:r>
    </w:p>
    <w:p>
      <w:pPr>
        <w:pStyle w:val="925"/>
        <w:pBdr/>
        <w:spacing w:after="0" w:before="0" w:line="240" w:lineRule="auto"/>
        <w:ind/>
        <w:rPr>
          <w:rFonts w:ascii="Times New Roman" w:hAnsi="Times New Roman" w:cs="Times New Roman"/>
          <w:b/>
          <w:sz w:val="20"/>
          <w:szCs w:val="20"/>
          <w:highlight w:val="none"/>
        </w:rPr>
      </w:pPr>
      <w:r>
        <w:rPr>
          <w:rFonts w:cs="Times New Roman"/>
          <w:b/>
          <w:sz w:val="20"/>
          <w:szCs w:val="20"/>
          <w:highlight w:val="none"/>
        </w:rPr>
      </w:r>
      <w:r>
        <w:rPr>
          <w:rFonts w:ascii="Times New Roman" w:hAnsi="Times New Roman" w:cs="Times New Roman"/>
          <w:b/>
          <w:sz w:val="20"/>
          <w:szCs w:val="20"/>
          <w:highlight w:val="none"/>
        </w:rPr>
      </w:r>
      <w:r>
        <w:rPr>
          <w:rFonts w:ascii="Times New Roman" w:hAnsi="Times New Roman" w:cs="Times New Roman"/>
          <w:b/>
          <w:sz w:val="20"/>
          <w:szCs w:val="20"/>
          <w:highlight w:val="none"/>
        </w:rPr>
      </w:r>
    </w:p>
    <w:p>
      <w:pPr>
        <w:pStyle w:val="925"/>
        <w:pBdr/>
        <w:spacing w:after="0" w:before="0" w:line="240" w:lineRule="auto"/>
        <w:ind/>
        <w:rPr>
          <w:rFonts w:ascii="Times New Roman" w:hAnsi="Times New Roman" w:cs="Times New Roman"/>
          <w:b/>
          <w:sz w:val="20"/>
          <w:szCs w:val="20"/>
          <w:highlight w:val="none"/>
        </w:rPr>
      </w:pPr>
      <w:r>
        <w:rPr>
          <w:rFonts w:cs="Times New Roman"/>
          <w:b/>
          <w:sz w:val="20"/>
          <w:szCs w:val="20"/>
          <w:highlight w:val="none"/>
        </w:rPr>
      </w:r>
      <w:r>
        <w:rPr>
          <w:highlight w:val="none"/>
        </w:rPr>
        <w:br w:type="page" w:clear="all"/>
      </w:r>
      <w:r>
        <w:rPr>
          <w:rFonts w:ascii="Times New Roman" w:hAnsi="Times New Roman" w:cs="Times New Roman"/>
          <w:b/>
          <w:sz w:val="20"/>
          <w:szCs w:val="20"/>
          <w:highlight w:val="none"/>
        </w:rPr>
      </w:r>
      <w:r>
        <w:rPr>
          <w:rFonts w:ascii="Times New Roman" w:hAnsi="Times New Roman" w:cs="Times New Roman"/>
          <w:b/>
          <w:sz w:val="20"/>
          <w:szCs w:val="20"/>
          <w:highlight w:val="none"/>
        </w:rPr>
      </w:r>
    </w:p>
    <w:p>
      <w:pPr>
        <w:pStyle w:val="925"/>
        <w:suppressLineNumbers w:val="false"/>
        <w:pBdr/>
        <w:spacing w:after="0" w:before="0" w:line="240" w:lineRule="auto"/>
        <w:ind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1. Общие сведения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925"/>
        <w:suppressLineNumbers w:val="false"/>
        <w:pBdr/>
        <w:spacing w:after="0" w:before="0" w:line="240" w:lineRule="auto"/>
        <w:ind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1.1 Обозначения и сокращения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tbl>
      <w:tblPr>
        <w:tblW w:w="9067" w:type="dxa"/>
        <w:jc w:val="center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085"/>
        <w:gridCol w:w="6981"/>
      </w:tblGrid>
      <w:tr>
        <w:trPr>
          <w:cantSplit/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5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120" w:before="120" w:line="240" w:lineRule="auto"/>
              <w:ind w:firstLine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1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Транспортное средство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>
          <w:cantSplit/>
          <w:trHeight w:val="1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5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120" w:before="120" w:line="240" w:lineRule="auto"/>
              <w:ind w:firstLine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1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>
          <w:cantSplit/>
          <w:trHeight w:val="1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5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120" w:before="120" w:line="240" w:lineRule="auto"/>
              <w:ind w:firstLine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РФ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1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>
          <w:cantSplit/>
          <w:trHeight w:val="1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5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120" w:before="120" w:line="240" w:lineRule="auto"/>
              <w:ind w:firstLine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РС(Я)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1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Республика Саха (Якутия)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>
          <w:cantSplit/>
          <w:trHeight w:val="2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5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120" w:before="120" w:line="240" w:lineRule="auto"/>
              <w:ind w:firstLine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1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Поселок (населенный пункт)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</w:tbl>
    <w:p>
      <w:pPr>
        <w:pStyle w:val="925"/>
        <w:suppressLineNumbers w:val="false"/>
        <w:pBdr/>
        <w:spacing w:after="0" w:before="0" w:line="240" w:lineRule="auto"/>
        <w:ind w:firstLine="0"/>
        <w:contextualSpacing w:val="true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1.2 Наименование закупаемой продукции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925"/>
        <w:suppressLineNumbers w:val="false"/>
        <w:pBdr/>
        <w:spacing w:after="0" w:before="0" w:line="240" w:lineRule="auto"/>
        <w:ind w:firstLine="0"/>
        <w:contextualSpacing w:val="true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«Выполнение работ по изготовлению деталей для ремонта днища баржи МП-314 для нужд АО «Сахаэнерго»»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925"/>
        <w:suppressLineNumbers w:val="false"/>
        <w:pBdr/>
        <w:spacing w:after="0" w:before="0" w:line="240" w:lineRule="auto"/>
        <w:ind w:firstLine="0"/>
        <w:contextualSpacing w:val="true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1.3 Цель оказания услуг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925"/>
        <w:suppressLineNumbers w:val="false"/>
        <w:pBdr/>
        <w:spacing w:after="0" w:before="0" w:line="240" w:lineRule="auto"/>
        <w:ind w:firstLine="0"/>
        <w:contextualSpacing w:val="true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 xml:space="preserve">Изготовление деталей для ремонта судна.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925"/>
        <w:suppressLineNumbers w:val="false"/>
        <w:pBdr/>
        <w:spacing w:after="0" w:before="0" w:line="240" w:lineRule="auto"/>
        <w:ind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2. Требования к продукции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925"/>
        <w:suppressLineNumbers w:val="false"/>
        <w:pBdr/>
        <w:spacing w:after="0" w:before="0" w:line="240" w:lineRule="auto"/>
        <w:ind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2.1 Требования к объемам и срокам оказания услуг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925"/>
        <w:suppressLineNumbers w:val="false"/>
        <w:pBdr/>
        <w:spacing w:after="0" w:before="0" w:line="240" w:lineRule="auto"/>
        <w:ind w:firstLine="0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t xml:space="preserve">2.1.1 Перечень объектов заказчика</w:t>
      </w:r>
      <w:r>
        <w:rPr>
          <w:rFonts w:ascii="Times New Roman" w:hAnsi="Times New Roman" w:cs="Times New Roman"/>
          <w:b/>
          <w:iCs/>
          <w:sz w:val="20"/>
          <w:szCs w:val="20"/>
        </w:rPr>
      </w:r>
      <w:r>
        <w:rPr>
          <w:rFonts w:ascii="Times New Roman" w:hAnsi="Times New Roman" w:cs="Times New Roman"/>
          <w:b/>
          <w:iCs/>
          <w:sz w:val="20"/>
          <w:szCs w:val="20"/>
        </w:rPr>
      </w:r>
    </w:p>
    <w:p>
      <w:pPr>
        <w:pStyle w:val="925"/>
        <w:suppressLineNumbers w:val="false"/>
        <w:pBdr/>
        <w:spacing w:after="0" w:before="0" w:line="240" w:lineRule="auto"/>
        <w:ind w:firstLine="0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 xml:space="preserve">Таблица 1. Перечень объектов заказчика:</w:t>
      </w:r>
      <w:r>
        <w:rPr>
          <w:rFonts w:ascii="Times New Roman" w:hAnsi="Times New Roman" w:cs="Times New Roman"/>
          <w:iCs/>
          <w:sz w:val="20"/>
          <w:szCs w:val="20"/>
        </w:rPr>
      </w:r>
      <w:r>
        <w:rPr>
          <w:rFonts w:ascii="Times New Roman" w:hAnsi="Times New Roman" w:cs="Times New Roman"/>
          <w:iCs/>
          <w:sz w:val="20"/>
          <w:szCs w:val="20"/>
        </w:rPr>
      </w:r>
    </w:p>
    <w:tbl>
      <w:tblPr>
        <w:tblW w:w="1020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17"/>
        <w:gridCol w:w="1867"/>
        <w:gridCol w:w="3265"/>
        <w:gridCol w:w="2126"/>
        <w:gridCol w:w="2126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Наименование объекта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5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Расположение объекта </w:t>
              <w:br/>
            </w:r>
            <w:r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ru-RU"/>
              </w:rPr>
              <w:t xml:space="preserve">(место оказания услуг)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Наименование основного средства (в отношении которого оказываются услуги)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Примечания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5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  <w:tr>
        <w:trPr>
          <w:trHeight w:val="5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contextualSpacing w:val="true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 xml:space="preserve">1.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АО «Сахаэнерго»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5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РФ, РС(Я), 678000, г.Якутск, ул. Беринга, 42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Листы горячекатанные 4мм, 5мм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Эксплуатирующий филиал Заказчика: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Олекминский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suppressLineNumbers w:val="false"/>
        <w:pBdr/>
        <w:spacing/>
        <w:ind w:firstLine="0"/>
        <w:rPr/>
        <w:sectPr>
          <w:footnotePr/>
          <w:endnotePr/>
          <w:type w:val="nextPage"/>
          <w:pgSz w:h="16838" w:orient="portrait" w:w="11906"/>
          <w:pgMar w:top="709" w:right="566" w:bottom="1134" w:left="1134" w:header="709" w:footer="709" w:gutter="0"/>
          <w:cols w:num="1" w:sep="0" w:space="1701" w:equalWidth="1"/>
        </w:sectPr>
      </w:pPr>
      <w:r/>
      <w:r/>
      <w:r/>
    </w:p>
    <w:p>
      <w:pPr>
        <w:pStyle w:val="925"/>
        <w:suppressLineNumbers w:val="false"/>
        <w:pBdr/>
        <w:tabs>
          <w:tab w:val="clear" w:leader="none" w:pos="708"/>
          <w:tab w:val="left" w:leader="none" w:pos="5040"/>
        </w:tabs>
        <w:spacing w:after="0" w:before="0" w:line="240" w:lineRule="auto"/>
        <w:ind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2.1.2 Требования к перечню и объему услуг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925"/>
        <w:suppressLineNumbers w:val="false"/>
        <w:pBdr/>
        <w:tabs>
          <w:tab w:val="clear" w:leader="none" w:pos="708"/>
          <w:tab w:val="left" w:leader="none" w:pos="5040"/>
        </w:tabs>
        <w:spacing w:after="0" w:before="0" w:line="240" w:lineRule="auto"/>
        <w:ind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2 Перечень оказываемы услуг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tbl>
      <w:tblPr>
        <w:tblStyle w:val="1184"/>
        <w:tblW w:w="15165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50"/>
        <w:gridCol w:w="2563"/>
        <w:gridCol w:w="716"/>
        <w:gridCol w:w="8487"/>
        <w:gridCol w:w="1139"/>
        <w:gridCol w:w="1710"/>
      </w:tblGrid>
      <w:tr>
        <w:trPr/>
        <w:tc>
          <w:tcPr>
            <w:shd w:val="clear" w:color="ffffff" w:fill="ffffff"/>
            <w:tcBorders/>
            <w:tcW w:w="5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2563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Наименование и марка металлопроката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Borders/>
            <w:tcW w:w="71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/>
            <w:tcW w:w="848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Наименование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/>
            <w:tcW w:w="1139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Ед.изм.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/>
            <w:tcW w:w="171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Кол-во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308"/>
        </w:trPr>
        <w:tc>
          <w:tcPr>
            <w:tcBorders/>
            <w:tcW w:w="550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2563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bidi w:val="false"/>
              <w:spacing w:after="0" w:before="0"/>
              <w:ind w:firstLine="0"/>
              <w:jc w:val="center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  <w:szCs w:val="3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0"/>
                <w:szCs w:val="28"/>
                <w:u w:val="none"/>
                <w:lang w:val="ru-RU" w:eastAsia="en-US" w:bidi="ar-SA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0"/>
                <w:szCs w:val="32"/>
                <w:u w:val="none"/>
              </w:rPr>
              <w:t xml:space="preserve">ист стальной 5мм 1,5х6 горячекатанный, марка РСВ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  <w:szCs w:val="32"/>
                <w:u w:val="none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  <w:szCs w:val="32"/>
                <w:u w:val="none"/>
              </w:rPr>
            </w:r>
          </w:p>
        </w:tc>
        <w:tc>
          <w:tcPr>
            <w:tcBorders/>
            <w:tcW w:w="71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/>
            <w:tcW w:w="848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Изготовление подворота (скула) 5х687х2000 R-200 (левая), (по образцу)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Borders/>
            <w:tcW w:w="1139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ед.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171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14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308"/>
        </w:trPr>
        <w:tc>
          <w:tcPr>
            <w:tcBorders/>
            <w:tcW w:w="550" w:type="dxa"/>
            <w:vAlign w:val="center"/>
            <w:vMerge w:val="continue"/>
            <w:textDirection w:val="lrTb"/>
            <w:noWrap w:val="false"/>
          </w:tcPr>
          <w:p>
            <w:pPr>
              <w:pStyle w:val="925"/>
              <w:widowControl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</w:r>
          </w:p>
        </w:tc>
        <w:tc>
          <w:tcPr>
            <w:tcBorders/>
            <w:tcW w:w="2563" w:type="dxa"/>
            <w:vAlign w:val="center"/>
            <w:vMerge w:val="continue"/>
            <w:textDirection w:val="lrTb"/>
            <w:noWrap w:val="false"/>
          </w:tcPr>
          <w:p>
            <w:pPr>
              <w:pStyle w:val="925"/>
              <w:widowControl w:val="false"/>
              <w:pBdr/>
              <w:bidi w:val="false"/>
              <w:spacing w:after="200" w:before="0"/>
              <w:ind/>
              <w:jc w:val="center"/>
              <w:rPr>
                <w:rFonts w:ascii="Liberation Sans" w:hAnsi="Liberation Sans" w:eastAsia="Calibri" w:cs="Times New Roman"/>
                <w:b w:val="0"/>
                <w:i w:val="0"/>
                <w:strike w:val="0"/>
                <w:sz w:val="15"/>
                <w:szCs w:val="20"/>
                <w:u w:val="none"/>
                <w:lang w:val="ru-RU" w:eastAsia="en-US" w:bidi="ar-SA"/>
              </w:rPr>
            </w:pPr>
            <w:r>
              <w:rPr>
                <w:rFonts w:ascii="Liberation Sans" w:hAnsi="Liberation Sans" w:eastAsia="Calibri" w:cs="Times New Roman"/>
                <w:b w:val="0"/>
                <w:i w:val="0"/>
                <w:strike w:val="0"/>
                <w:sz w:val="15"/>
                <w:szCs w:val="20"/>
                <w:u w:val="none"/>
                <w:lang w:val="ru-RU" w:eastAsia="en-US" w:bidi="ar-SA"/>
              </w:rPr>
            </w:r>
            <w:r>
              <w:rPr>
                <w:rFonts w:ascii="Liberation Sans" w:hAnsi="Liberation Sans" w:eastAsia="Calibri" w:cs="Times New Roman"/>
                <w:b w:val="0"/>
                <w:i w:val="0"/>
                <w:strike w:val="0"/>
                <w:sz w:val="15"/>
                <w:szCs w:val="20"/>
                <w:u w:val="none"/>
                <w:lang w:val="ru-RU" w:eastAsia="en-US" w:bidi="ar-SA"/>
              </w:rPr>
            </w:r>
            <w:r>
              <w:rPr>
                <w:rFonts w:ascii="Liberation Sans" w:hAnsi="Liberation Sans" w:eastAsia="Calibri" w:cs="Times New Roman"/>
                <w:b w:val="0"/>
                <w:i w:val="0"/>
                <w:strike w:val="0"/>
                <w:sz w:val="15"/>
                <w:szCs w:val="20"/>
                <w:u w:val="none"/>
                <w:lang w:val="ru-RU" w:eastAsia="en-US" w:bidi="ar-SA"/>
              </w:rPr>
            </w:r>
          </w:p>
        </w:tc>
        <w:tc>
          <w:tcPr>
            <w:tcBorders/>
            <w:tcW w:w="716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</w:r>
          </w:p>
        </w:tc>
        <w:tc>
          <w:tcPr>
            <w:shd w:val="clear" w:color="ffffff" w:fill="ffffff"/>
            <w:tcBorders/>
            <w:tcW w:w="8487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Изготовление подворота (скула) 5х687х2000 R-200 (правая), (по образцу)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Borders/>
            <w:tcW w:w="1139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ед.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</w:r>
          </w:p>
        </w:tc>
        <w:tc>
          <w:tcPr>
            <w:tcBorders/>
            <w:tcW w:w="1710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14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</w:r>
          </w:p>
        </w:tc>
      </w:tr>
      <w:tr>
        <w:trPr>
          <w:trHeight w:val="276"/>
        </w:trPr>
        <w:tc>
          <w:tcPr>
            <w:tcBorders/>
            <w:tcW w:w="550" w:type="dxa"/>
            <w:vAlign w:val="center"/>
            <w:vMerge w:val="continue"/>
            <w:textDirection w:val="lrTb"/>
            <w:noWrap w:val="false"/>
          </w:tcPr>
          <w:p>
            <w:pPr>
              <w:pStyle w:val="925"/>
              <w:widowControl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2563" w:type="dxa"/>
            <w:vAlign w:val="center"/>
            <w:vMerge w:val="continue"/>
            <w:textDirection w:val="lrTb"/>
            <w:noWrap w:val="false"/>
          </w:tcPr>
          <w:p>
            <w:pPr>
              <w:pStyle w:val="925"/>
              <w:widowControl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Borders/>
            <w:tcW w:w="71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/>
            <w:tcW w:w="848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Изготовление кильсона продольного Г-обр 5х165 фл. 50 длина 2000мм.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1139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ед.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171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37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320"/>
        </w:trPr>
        <w:tc>
          <w:tcPr>
            <w:tcBorders/>
            <w:tcW w:w="550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2563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bidi w:val="false"/>
              <w:spacing w:after="0" w:before="0"/>
              <w:ind w:firstLine="0"/>
              <w:jc w:val="center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  <w:szCs w:val="32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0"/>
                <w:szCs w:val="32"/>
                <w:u w:val="none"/>
              </w:rPr>
              <w:t xml:space="preserve">Лист стальной 4мм 1,5х6 горячекатанный, марка РСВ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  <w:szCs w:val="32"/>
                <w:u w:val="none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  <w:szCs w:val="32"/>
                <w:u w:val="none"/>
              </w:rPr>
            </w:r>
          </w:p>
        </w:tc>
        <w:tc>
          <w:tcPr>
            <w:tcBorders/>
            <w:tcW w:w="71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/>
            <w:tcW w:w="848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Изготовление кницы скуловой (правая) 4х280 фл.30 длина 350, (по образцу)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1139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ед.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171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364"/>
        </w:trPr>
        <w:tc>
          <w:tcPr>
            <w:tcBorders/>
            <w:tcW w:w="550" w:type="dxa"/>
            <w:vAlign w:val="center"/>
            <w:vMerge w:val="continue"/>
            <w:textDirection w:val="lrTb"/>
            <w:noWrap w:val="false"/>
          </w:tcPr>
          <w:p>
            <w:pPr>
              <w:pStyle w:val="925"/>
              <w:widowControl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2563" w:type="dxa"/>
            <w:vAlign w:val="center"/>
            <w:vMerge w:val="continue"/>
            <w:textDirection w:val="lrTb"/>
            <w:noWrap w:val="false"/>
          </w:tcPr>
          <w:p>
            <w:pPr>
              <w:pStyle w:val="925"/>
              <w:widowControl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Borders/>
            <w:tcW w:w="716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</w:r>
          </w:p>
        </w:tc>
        <w:tc>
          <w:tcPr>
            <w:shd w:val="clear" w:color="ffffff" w:fill="ffffff"/>
            <w:tcBorders/>
            <w:tcW w:w="8487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Изготовление кницы скуловой (правая) 4х280 фл.30 длина 350, (по образцу)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1139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ед.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1710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35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</w:r>
          </w:p>
        </w:tc>
      </w:tr>
      <w:tr>
        <w:trPr>
          <w:trHeight w:val="364"/>
        </w:trPr>
        <w:tc>
          <w:tcPr>
            <w:tcBorders/>
            <w:tcW w:w="550" w:type="dxa"/>
            <w:vAlign w:val="center"/>
            <w:vMerge w:val="continue"/>
            <w:textDirection w:val="lrTb"/>
            <w:noWrap w:val="false"/>
          </w:tcPr>
          <w:p>
            <w:pPr>
              <w:pStyle w:val="925"/>
              <w:widowControl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2563" w:type="dxa"/>
            <w:vAlign w:val="center"/>
            <w:vMerge w:val="continue"/>
            <w:textDirection w:val="lrTb"/>
            <w:noWrap w:val="false"/>
          </w:tcPr>
          <w:p>
            <w:pPr>
              <w:pStyle w:val="925"/>
              <w:widowControl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Borders/>
            <w:tcW w:w="716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/>
            <w:tcW w:w="8487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Изготовление флоры Г-обр 4х165 фл.50 L=2500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1139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ед.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1710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364"/>
        </w:trPr>
        <w:tc>
          <w:tcPr>
            <w:tcBorders/>
            <w:tcW w:w="550" w:type="dxa"/>
            <w:vAlign w:val="center"/>
            <w:vMerge w:val="continue"/>
            <w:textDirection w:val="lrTb"/>
            <w:noWrap w:val="false"/>
          </w:tcPr>
          <w:p>
            <w:pPr>
              <w:pStyle w:val="925"/>
              <w:widowControl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2563" w:type="dxa"/>
            <w:vAlign w:val="center"/>
            <w:vMerge w:val="continue"/>
            <w:textDirection w:val="lrTb"/>
            <w:noWrap w:val="false"/>
          </w:tcPr>
          <w:p>
            <w:pPr>
              <w:pStyle w:val="925"/>
              <w:widowControl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Borders/>
            <w:tcW w:w="71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/>
            <w:tcW w:w="848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Изготовление флоры Г-обр 4х165 фл.50 L=2500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1139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ед.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171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/>
        <w:tc>
          <w:tcPr>
            <w:tcBorders/>
            <w:tcW w:w="5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2563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Borders/>
            <w:tcW w:w="71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/>
            <w:tcW w:w="848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right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ru-RU" w:eastAsia="en-US" w:bidi="ar-SA"/>
              </w:rPr>
              <w:t xml:space="preserve">Итого: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</w:p>
        </w:tc>
        <w:tc>
          <w:tcPr>
            <w:tcBorders/>
            <w:tcW w:w="1139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ru-RU" w:eastAsia="en-US" w:bidi="ar-SA"/>
              </w:rPr>
              <w:t xml:space="preserve">ед.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/>
            <w:tcW w:w="171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ru-RU" w:eastAsia="en-US" w:bidi="ar-SA"/>
              </w:rPr>
              <w:t xml:space="preserve">187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</w:tbl>
    <w:p>
      <w:pPr>
        <w:pStyle w:val="925"/>
        <w:suppressLineNumbers w:val="false"/>
        <w:pBdr/>
        <w:spacing w:after="0" w:before="0"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925"/>
        <w:suppressLineNumbers w:val="false"/>
        <w:pBdr/>
        <w:tabs>
          <w:tab w:val="clear" w:leader="none" w:pos="708"/>
          <w:tab w:val="left" w:leader="none" w:pos="5040"/>
        </w:tabs>
        <w:spacing w:after="0" w:before="0" w:line="240" w:lineRule="auto"/>
        <w:ind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2.1.3 Требования к срокам услуг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925"/>
        <w:suppressLineNumbers w:val="false"/>
        <w:pBdr/>
        <w:tabs>
          <w:tab w:val="clear" w:leader="none" w:pos="708"/>
          <w:tab w:val="left" w:leader="none" w:pos="5040"/>
        </w:tabs>
        <w:spacing w:after="0" w:before="0" w:line="240" w:lineRule="auto"/>
        <w:ind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3 Требования к срокам услуг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tbl>
      <w:tblPr>
        <w:tblStyle w:val="1184"/>
        <w:tblW w:w="15278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51"/>
        <w:gridCol w:w="4122"/>
        <w:gridCol w:w="3827"/>
        <w:gridCol w:w="4252"/>
        <w:gridCol w:w="2526"/>
      </w:tblGrid>
      <w:tr>
        <w:trPr/>
        <w:tc>
          <w:tcPr>
            <w:shd w:val="clear" w:color="ffffff" w:fill="ffffff"/>
            <w:tcBorders/>
            <w:tcW w:w="551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4122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Наименование услуг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Borders/>
            <w:tcW w:w="382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Требования к началу срока оказания услуг/ этапа услуг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Borders/>
            <w:tcW w:w="4252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Требования к окончанию срока выполнения услуг / этапа услуг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/>
            <w:tcW w:w="252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Примечание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264"/>
        </w:trPr>
        <w:tc>
          <w:tcPr>
            <w:tcBorders/>
            <w:tcW w:w="551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4122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Изготовление подворота (скула) 5х687х2000 R-200 (левая), (по образцу)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Borders/>
            <w:tcW w:w="382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iCs/>
                <w:sz w:val="20"/>
                <w:szCs w:val="20"/>
                <w:lang w:val="ru-RU" w:eastAsia="en-US" w:bidi="ar-SA"/>
              </w:rPr>
              <w:t xml:space="preserve">С даты, подписания договора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Borders/>
            <w:tcW w:w="4252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9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Cs/>
                <w:sz w:val="20"/>
                <w:szCs w:val="20"/>
                <w:lang w:val="ru-RU" w:eastAsia="en-US" w:bidi="ar-SA"/>
              </w:rPr>
              <w:t xml:space="preserve">до 30.09.2026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252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Возможны изменения в сроках окончания, в связи с поздним поступлением материала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511"/>
        </w:trPr>
        <w:tc>
          <w:tcPr>
            <w:tcBorders/>
            <w:tcW w:w="551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/>
            <w:tcW w:w="4122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Изготовление подворота (скула) 5х687х2000 R-200 (правая), (по образцу)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/>
            <w:tcW w:w="382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iCs/>
                <w:sz w:val="20"/>
                <w:szCs w:val="20"/>
                <w:lang w:val="ru-RU" w:eastAsia="en-US" w:bidi="ar-SA"/>
              </w:rPr>
              <w:t xml:space="preserve">С даты, подписания договора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Borders/>
            <w:tcW w:w="4252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9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Cs/>
                <w:sz w:val="20"/>
                <w:szCs w:val="20"/>
                <w:lang w:val="ru-RU" w:eastAsia="en-US" w:bidi="ar-SA"/>
              </w:rPr>
              <w:t xml:space="preserve">до 30.09.2026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252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Возможны изменения в сроках окончания, в связи с поздним поступлением материала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419"/>
        </w:trPr>
        <w:tc>
          <w:tcPr>
            <w:tcBorders/>
            <w:tcW w:w="551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/>
            <w:tcW w:w="4122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Изготовление кильсона продольного Г-обр 5х165 фл. 50 длина 2000мм.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/>
            <w:tcW w:w="382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iCs/>
                <w:sz w:val="20"/>
                <w:szCs w:val="20"/>
                <w:lang w:val="ru-RU" w:eastAsia="en-US" w:bidi="ar-SA"/>
              </w:rPr>
              <w:t xml:space="preserve">С даты, подписания договора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Borders/>
            <w:tcW w:w="4252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9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Cs/>
                <w:sz w:val="20"/>
                <w:szCs w:val="20"/>
                <w:lang w:val="ru-RU" w:eastAsia="en-US" w:bidi="ar-SA"/>
              </w:rPr>
              <w:t xml:space="preserve">до 30.09.2026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252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Возможны изменения в сроках окончания, в связи с поздним поступлением материала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369"/>
        </w:trPr>
        <w:tc>
          <w:tcPr>
            <w:tcBorders/>
            <w:tcW w:w="551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/>
            <w:tcW w:w="4122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Изготовление кницы скуловой (правая) 4х280 фл.30 длина 350, (по образцу)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/>
            <w:tcW w:w="382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iCs/>
                <w:sz w:val="20"/>
                <w:szCs w:val="20"/>
                <w:lang w:val="ru-RU" w:eastAsia="en-US" w:bidi="ar-SA"/>
              </w:rPr>
              <w:t xml:space="preserve">С даты, подписания договора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Borders/>
            <w:tcW w:w="4252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9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Cs/>
                <w:sz w:val="20"/>
                <w:szCs w:val="20"/>
                <w:lang w:val="ru-RU" w:eastAsia="en-US" w:bidi="ar-SA"/>
              </w:rPr>
              <w:t xml:space="preserve">до 30.09.2026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252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Возможны изменения в сроках окончания, в связи с поздним поступлением материала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461"/>
        </w:trPr>
        <w:tc>
          <w:tcPr>
            <w:tcBorders/>
            <w:tcW w:w="551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/>
            <w:tcW w:w="4122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Изготовление кницы скуловой (правая) 4х280 фл.30 длина 350, (по образцу)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/>
            <w:tcW w:w="382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iCs/>
                <w:sz w:val="20"/>
                <w:szCs w:val="20"/>
                <w:lang w:val="ru-RU" w:eastAsia="en-US" w:bidi="ar-SA"/>
              </w:rPr>
              <w:t xml:space="preserve">С даты, подписания договора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Borders/>
            <w:tcW w:w="4252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9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Cs/>
                <w:sz w:val="20"/>
                <w:szCs w:val="20"/>
                <w:lang w:val="ru-RU" w:eastAsia="en-US" w:bidi="ar-SA"/>
              </w:rPr>
              <w:t xml:space="preserve">до 30.09.2026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252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Возможны изменения в сроках окончания, в связи с поздним поступлением материала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461"/>
        </w:trPr>
        <w:tc>
          <w:tcPr>
            <w:tcBorders/>
            <w:tcW w:w="551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</w:r>
          </w:p>
        </w:tc>
        <w:tc>
          <w:tcPr>
            <w:shd w:val="clear" w:color="000000" w:fill="ffffff"/>
            <w:tcBorders/>
            <w:tcW w:w="4122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Изготовление флоры Г-обр 4х165 фл.50 L=2500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/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iCs/>
                <w:sz w:val="20"/>
                <w:szCs w:val="20"/>
                <w:lang w:val="ru-RU" w:eastAsia="en-US" w:bidi="ar-SA"/>
              </w:rPr>
              <w:t xml:space="preserve">С даты, подписания договора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Borders/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9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Cs/>
                <w:sz w:val="20"/>
                <w:szCs w:val="20"/>
                <w:lang w:val="ru-RU" w:eastAsia="en-US" w:bidi="ar-SA"/>
              </w:rPr>
              <w:t xml:space="preserve">до 30.09.2026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2526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Возможны изменения в сроках окончания, в связи с поздним поступлением материала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461"/>
        </w:trPr>
        <w:tc>
          <w:tcPr>
            <w:tcBorders/>
            <w:tcW w:w="551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</w:r>
          </w:p>
        </w:tc>
        <w:tc>
          <w:tcPr>
            <w:shd w:val="clear" w:color="000000" w:fill="ffffff"/>
            <w:tcBorders/>
            <w:tcW w:w="4122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Изготовление флоры Г-обр 4х165 фл.50 L=2500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/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iCs/>
                <w:sz w:val="20"/>
                <w:szCs w:val="20"/>
                <w:lang w:val="ru-RU" w:eastAsia="en-US" w:bidi="ar-SA"/>
              </w:rPr>
              <w:t xml:space="preserve">С даты, подписания договора</w:t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  <w:r>
              <w:rPr>
                <w:rFonts w:ascii="Times New Roman" w:hAnsi="Times New Roman" w:eastAsia="Calibri" w:cs="Times New Roman"/>
                <w:sz w:val="20"/>
                <w:szCs w:val="20"/>
              </w:rPr>
            </w:r>
          </w:p>
        </w:tc>
        <w:tc>
          <w:tcPr>
            <w:tcBorders/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9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Cs/>
                <w:sz w:val="20"/>
                <w:szCs w:val="20"/>
                <w:lang w:val="ru-RU" w:eastAsia="en-US" w:bidi="ar-SA"/>
              </w:rPr>
              <w:t xml:space="preserve">до 30.09.2026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W w:w="2526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5040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en-US" w:bidi="ar-SA"/>
              </w:rPr>
              <w:t xml:space="preserve">Возможны изменения в сроках окончания, в связи с поздним поступлением материала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925"/>
        <w:suppressLineNumbers w:val="false"/>
        <w:pBdr/>
        <w:spacing w:after="0" w:before="0"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uppressLineNumbers w:val="false"/>
        <w:pBdr/>
        <w:shd w:val="nil" w:color="000000"/>
        <w:spacing/>
        <w:ind w:firstLine="0"/>
        <w:rPr>
          <w:rFonts w:ascii="Times New Roman" w:hAnsi="Times New Roman" w:cs="Times New Roman"/>
          <w:b/>
          <w:bCs/>
          <w:sz w:val="20"/>
          <w:szCs w:val="20"/>
          <w:highlight w:val="none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none"/>
        </w:rPr>
        <w:br w:type="page" w:clear="all"/>
      </w:r>
      <w:r>
        <w:rPr>
          <w:rFonts w:ascii="Times New Roman" w:hAnsi="Times New Roman" w:cs="Times New Roman"/>
          <w:b/>
          <w:bCs/>
          <w:sz w:val="20"/>
          <w:szCs w:val="20"/>
          <w:highlight w:val="none"/>
        </w:rPr>
      </w:r>
      <w:r>
        <w:rPr>
          <w:rFonts w:ascii="Times New Roman" w:hAnsi="Times New Roman" w:cs="Times New Roman"/>
          <w:b/>
          <w:bCs/>
          <w:sz w:val="20"/>
          <w:szCs w:val="20"/>
          <w:highlight w:val="none"/>
        </w:rPr>
      </w:r>
    </w:p>
    <w:p>
      <w:pPr>
        <w:pStyle w:val="925"/>
        <w:suppressLineNumbers w:val="false"/>
        <w:pBdr/>
        <w:spacing w:after="0" w:before="0" w:line="240" w:lineRule="auto"/>
        <w:ind w:firstLine="0"/>
        <w:jc w:val="both"/>
        <w:rPr>
          <w:rFonts w:ascii="Times New Roman" w:hAnsi="Times New Roman" w:cs="Times New Roman"/>
          <w:b/>
          <w:bCs/>
          <w:sz w:val="20"/>
          <w:szCs w:val="20"/>
          <w:highlight w:val="none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3. Требования к качеству услуг</w:t>
      </w:r>
      <w:r>
        <w:rPr>
          <w:rFonts w:ascii="Times New Roman" w:hAnsi="Times New Roman" w:cs="Times New Roman"/>
          <w:b/>
          <w:bCs/>
          <w:sz w:val="20"/>
          <w:szCs w:val="20"/>
          <w:highlight w:val="none"/>
        </w:rPr>
      </w:r>
      <w:r>
        <w:rPr>
          <w:rFonts w:ascii="Times New Roman" w:hAnsi="Times New Roman" w:cs="Times New Roman"/>
          <w:b/>
          <w:bCs/>
          <w:sz w:val="20"/>
          <w:szCs w:val="20"/>
          <w:highlight w:val="none"/>
        </w:rPr>
      </w:r>
    </w:p>
    <w:p>
      <w:pPr>
        <w:pStyle w:val="925"/>
        <w:suppressLineNumbers w:val="false"/>
        <w:pBdr/>
        <w:spacing w:after="0" w:before="0" w:line="240" w:lineRule="auto"/>
        <w:ind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Оказываемая услуга должна соответствовать </w:t>
      </w:r>
      <w:r>
        <w:rPr>
          <w:rFonts w:ascii="Times New Roman" w:hAnsi="Times New Roman" w:cs="Times New Roman"/>
          <w:b w:val="0"/>
          <w:i w:val="0"/>
          <w:caps w:val="0"/>
          <w:smallCaps w:val="0"/>
          <w:color w:val="000000"/>
          <w:spacing w:val="0"/>
          <w:sz w:val="20"/>
          <w:szCs w:val="20"/>
        </w:rPr>
        <w:t xml:space="preserve">ГОСТ Р 72431-2025 Национальный стандарт Российской Федерации корпуса металлических судов. Технические требования к проверочным работам при изготовлении узлов и секций</w:t>
      </w:r>
      <w:r>
        <w:rPr>
          <w:rFonts w:ascii="Times New Roman" w:hAnsi="Times New Roman" w:cs="Times New Roman"/>
          <w:sz w:val="20"/>
          <w:szCs w:val="20"/>
        </w:rPr>
        <w:t xml:space="preserve">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925"/>
        <w:suppressLineNumbers w:val="false"/>
        <w:pBdr/>
        <w:spacing w:after="0" w:before="0" w:line="240" w:lineRule="auto"/>
        <w:ind w:firstLine="0"/>
        <w:jc w:val="both"/>
        <w:rPr>
          <w:rFonts w:ascii="Times New Roman" w:hAnsi="Times New Roman" w:cs="Times New Roman"/>
          <w:sz w:val="20"/>
          <w:szCs w:val="20"/>
        </w:rPr>
        <w:sectPr>
          <w:footnotePr/>
          <w:endnotePr/>
          <w:type w:val="nextPage"/>
          <w:pgSz w:h="11906" w:orient="landscape" w:w="16838"/>
          <w:pgMar w:top="1276" w:right="851" w:bottom="1134" w:left="993" w:header="709" w:footer="709" w:gutter="0"/>
          <w:cols w:num="1" w:sep="0" w:space="1701" w:equalWidth="1"/>
        </w:sectPr>
      </w:pPr>
      <w:r>
        <w:rPr>
          <w:rFonts w:ascii="Times New Roman" w:hAnsi="Times New Roman" w:cs="Times New Roman"/>
          <w:sz w:val="20"/>
          <w:szCs w:val="20"/>
        </w:rPr>
        <w:t xml:space="preserve">Исполнитель гарантирует соответствие качества изготовленных деталей с момента передачи в течение 24 (двадцать четыре) месяцев.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925"/>
        <w:suppressLineNumbers w:val="false"/>
        <w:pBdr/>
        <w:spacing w:after="0" w:before="0" w:line="240" w:lineRule="auto"/>
        <w:ind w:firstLine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highlight w:val="none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pStyle w:val="925"/>
        <w:suppressLineNumbers w:val="false"/>
        <w:pBdr/>
        <w:spacing w:after="0" w:before="0" w:line="240" w:lineRule="auto"/>
        <w:ind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Таблица 3. Требования к оказанию услуг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tbl>
      <w:tblPr>
        <w:tblStyle w:val="1_6661"/>
        <w:tblW w:w="15218" w:type="dxa"/>
        <w:tblInd w:w="-5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0"/>
        <w:gridCol w:w="2977"/>
        <w:gridCol w:w="4678"/>
        <w:gridCol w:w="2126"/>
        <w:gridCol w:w="2409"/>
        <w:gridCol w:w="2177"/>
      </w:tblGrid>
      <w:tr>
        <w:trPr/>
        <w:tc>
          <w:tcPr>
            <w:tcBorders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 w:bidi="ar-SA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 w:bidi="ar-SA"/>
              </w:rPr>
              <w:t xml:space="preserve">п/п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 w:bidi="ar-SA"/>
              </w:rPr>
              <w:t xml:space="preserve">Наименование параметра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4678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 w:bidi="ar-SA"/>
              </w:rPr>
              <w:t xml:space="preserve">Требование заказчика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Borders/>
            <w:tcW w:w="4535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2177" w:type="dxa"/>
            <w:vAlign w:val="center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 w:bidi="ar-SA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pStyle w:val="925"/>
              <w:widowControl w:val="false"/>
              <w:pBdr/>
              <w:spacing w:after="0" w:before="0" w:line="240" w:lineRule="auto"/>
              <w:ind/>
              <w:jc w:val="lef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pStyle w:val="925"/>
              <w:widowControl w:val="false"/>
              <w:pBdr/>
              <w:spacing w:after="0" w:before="0" w:line="240" w:lineRule="auto"/>
              <w:ind/>
              <w:jc w:val="lef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4678" w:type="dxa"/>
            <w:vAlign w:val="center"/>
            <w:vMerge w:val="continue"/>
            <w:textDirection w:val="lrTb"/>
            <w:noWrap w:val="false"/>
          </w:tcPr>
          <w:p>
            <w:pPr>
              <w:pStyle w:val="925"/>
              <w:widowControl w:val="false"/>
              <w:pBdr/>
              <w:spacing w:after="0" w:before="0" w:line="240" w:lineRule="auto"/>
              <w:ind/>
              <w:jc w:val="lef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212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 w:bidi="ar-SA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 w:bidi="ar-SA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2177" w:type="dxa"/>
            <w:vAlign w:val="center"/>
            <w:vMerge w:val="continue"/>
            <w:textDirection w:val="lrTb"/>
            <w:noWrap w:val="false"/>
          </w:tcPr>
          <w:p>
            <w:pPr>
              <w:pStyle w:val="925"/>
              <w:widowControl w:val="false"/>
              <w:pBdr/>
              <w:spacing w:after="0" w:before="0" w:line="240" w:lineRule="auto"/>
              <w:ind/>
              <w:jc w:val="lef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  <w:bCs/>
              </w:rPr>
            </w:pPr>
            <w:r/>
            <w:bookmarkStart w:id="2" w:name="_Toc53499667"/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 w:bidi="ar-SA"/>
              </w:rPr>
              <w:t xml:space="preserve">1</w:t>
            </w:r>
            <w:bookmarkEnd w:id="2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 w:bidi="ar-SA"/>
              </w:rPr>
              <w:t xml:space="preserve">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4678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 w:bidi="ar-SA"/>
              </w:rPr>
              <w:t xml:space="preserve">3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212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 w:bidi="ar-SA"/>
              </w:rPr>
              <w:t xml:space="preserve">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 w:bidi="ar-SA"/>
              </w:rPr>
              <w:t xml:space="preserve">5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21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 w:bidi="ar-SA"/>
              </w:rPr>
              <w:t xml:space="preserve">6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34"/>
                <w:tab w:val="clear" w:leader="none" w:pos="708"/>
              </w:tabs>
              <w:spacing w:after="0" w:before="0" w:line="240" w:lineRule="auto"/>
              <w:ind w:firstLine="0"/>
              <w:contextualSpacing w:val="true"/>
              <w:jc w:val="center"/>
              <w:rPr>
                <w:rFonts w:eastAsia="Calibri"/>
                <w:b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ru-RU" w:eastAsia="ru-RU" w:bidi="ar-SA"/>
              </w:rPr>
              <w:t xml:space="preserve">1.</w:t>
            </w: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</w:p>
        </w:tc>
        <w:tc>
          <w:tcPr>
            <w:gridSpan w:val="2"/>
            <w:tcBorders/>
            <w:tcW w:w="7655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val="ru-RU" w:eastAsia="ru-RU" w:bidi="ar-SA"/>
              </w:rPr>
              <w:t xml:space="preserve">Требования к оказанию услуг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val="ru-RU" w:eastAsia="ru-RU" w:bidi="ar-SA"/>
              </w:rPr>
              <w:t xml:space="preserve">-//-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09" w:type="dxa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val="ru-RU" w:eastAsia="ru-RU" w:bidi="ar-SA"/>
              </w:rPr>
              <w:t xml:space="preserve">-//-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177" w:type="dxa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val="ru-RU" w:eastAsia="ru-RU" w:bidi="ar-SA"/>
              </w:rPr>
              <w:t xml:space="preserve">-//-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25"/>
              <w:contextualSpacing w:val="true"/>
              <w:jc w:val="center"/>
              <w:rPr>
                <w:rFonts w:eastAsia="Calibri"/>
                <w:b/>
                <w:b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0"/>
                <w:lang w:val="ru-RU" w:eastAsia="ru-RU" w:bidi="ar-SA"/>
              </w:rPr>
              <w:t xml:space="preserve">1.1</w:t>
            </w:r>
            <w:r>
              <w:rPr>
                <w:rFonts w:eastAsia="Calibri"/>
                <w:b/>
                <w:bCs/>
              </w:rPr>
            </w:r>
            <w:r>
              <w:rPr>
                <w:rFonts w:eastAsia="Calibri"/>
                <w:b/>
                <w:bCs/>
              </w:rPr>
            </w:r>
          </w:p>
        </w:tc>
        <w:tc>
          <w:tcPr>
            <w:gridSpan w:val="2"/>
            <w:tcBorders/>
            <w:tcW w:w="7655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val="ru-RU" w:eastAsia="ru-RU" w:bidi="ar-SA"/>
              </w:rPr>
              <w:t xml:space="preserve">Общие требования к оказанию услуг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126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177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25"/>
              <w:contextualSpacing w:val="true"/>
              <w:jc w:val="center"/>
              <w:rPr>
                <w:rFonts w:eastAsia="Calibri"/>
                <w:bCs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val="ru-RU" w:eastAsia="ru-RU" w:bidi="ar-SA"/>
              </w:rPr>
              <w:t xml:space="preserve">1.1.1</w:t>
            </w:r>
            <w:r>
              <w:rPr>
                <w:rFonts w:eastAsia="Calibri"/>
                <w:bCs/>
              </w:rPr>
            </w:r>
            <w:r>
              <w:rPr>
                <w:rFonts w:eastAsia="Calibri"/>
                <w:bCs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0" w:before="0" w:line="240" w:lineRule="auto"/>
              <w:ind w:firstLine="0"/>
              <w:jc w:val="left"/>
              <w:rPr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  <w:sz w:val="20"/>
                <w:szCs w:val="20"/>
                <w:lang w:val="ru-RU" w:eastAsia="ru-RU" w:bidi="ar-SA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Borders/>
            <w:tcW w:w="4678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Исполнитель обязан выполнить работы собственными силами и средствами с использованием собственного оборудования, и с надлежащим качеством, и в установленные настоящим ТТ сроки.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tcBorders/>
            <w:tcW w:w="2126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 w:bidi="ar-SA"/>
              </w:rPr>
              <w:t xml:space="preserve">Согласие с требованием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177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25"/>
              <w:contextualSpacing w:val="true"/>
              <w:jc w:val="center"/>
              <w:rPr>
                <w:rFonts w:eastAsia="Calibri"/>
                <w:bCs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val="ru-RU" w:eastAsia="ru-RU" w:bidi="ar-SA"/>
              </w:rPr>
              <w:t xml:space="preserve">1.1.2</w:t>
            </w:r>
            <w:r>
              <w:rPr>
                <w:rFonts w:eastAsia="Calibri"/>
                <w:bCs/>
              </w:rPr>
            </w:r>
            <w:r>
              <w:rPr>
                <w:rFonts w:eastAsia="Calibri"/>
                <w:bCs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Требования к обеспечению техники безопасности при проведении работ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tcBorders/>
            <w:tcW w:w="4678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Работы дол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жны быть выполнены в соответствии с ПБ, РД -РД 153-34.0-03.150-00, ПОТРМ-0162001 (Межотраслевые правила по охране труда, правила безопасности при эксплуатации электроустановок), и другими актами и нормативно-техническими документами в рамках настоящего ТТ.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tcBorders/>
            <w:tcW w:w="2126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 w:bidi="ar-SA"/>
              </w:rPr>
              <w:t xml:space="preserve">Согласие с требованием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177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25"/>
              <w:contextualSpacing w:val="true"/>
              <w:jc w:val="center"/>
              <w:rPr>
                <w:rFonts w:eastAsia="Calibri"/>
                <w:bCs/>
              </w:rPr>
            </w:pPr>
            <w:r>
              <w:rPr>
                <w:rFonts w:ascii="Times New Roman" w:hAnsi="Times New Roman" w:eastAsia="Calibri" w:cs="Times New Roman"/>
                <w:bCs/>
                <w:sz w:val="20"/>
                <w:szCs w:val="20"/>
                <w:lang w:val="ru-RU" w:eastAsia="ru-RU" w:bidi="ar-SA"/>
              </w:rPr>
              <w:t xml:space="preserve">1.1.3</w:t>
            </w:r>
            <w:r>
              <w:rPr>
                <w:rFonts w:eastAsia="Calibri"/>
                <w:bCs/>
              </w:rPr>
            </w:r>
            <w:r>
              <w:rPr>
                <w:rFonts w:eastAsia="Calibri"/>
                <w:bCs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0" w:before="0" w:line="240" w:lineRule="auto"/>
              <w:ind w:firstLine="0"/>
              <w:jc w:val="left"/>
              <w:rPr>
                <w:i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Требования к выполнению работ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/>
            <w:tcW w:w="4678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- Надлежащее качество работ (услуг) в полном объеме в соответствии с действующей нормативно-технической документацией;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- Выполнение всех видов работ в установленные сроки;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- Возмещение Заказчику причиненных убытков.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tcBorders/>
            <w:tcW w:w="2126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 w:bidi="ar-SA"/>
              </w:rPr>
              <w:t xml:space="preserve">Согласие с требованием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177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25"/>
              <w:contextualSpacing w:val="true"/>
              <w:jc w:val="center"/>
              <w:rPr>
                <w:rFonts w:eastAsia="Calibri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  <w:t xml:space="preserve">1.1.4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ffffff" w:fill="ffffff"/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Требования к технической документации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/>
            <w:tcW w:w="4678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После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изготовления деталей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 Исполнитель обязан передать Заказчику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 и соответствующие и сопуствующие документы к изготовленным деталям.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/>
            <w:tcW w:w="2126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 w:bidi="ar-SA"/>
              </w:rPr>
              <w:t xml:space="preserve">Согласие с требованием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ffffff" w:fill="ffffff"/>
            <w:tcBorders/>
            <w:tcW w:w="2409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ffffff" w:fill="ffffff"/>
            <w:tcBorders/>
            <w:tcW w:w="2177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25"/>
              <w:contextualSpacing w:val="true"/>
              <w:jc w:val="center"/>
              <w:rPr>
                <w:rFonts w:eastAsia="Calibri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  <w:t xml:space="preserve">1.1.5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ffffff" w:fill="ffffff"/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Требования к выполнению поверки СИ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/>
            <w:tcW w:w="4678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0" w:before="0" w:line="240" w:lineRule="auto"/>
              <w:ind w:firstLine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- ГОСТ Р 72431-2025 Национальный стандарт Российской Федерации корпуса металлических судов. Технические требования к проверочным работам при изготовлении узлов и секций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/>
            <w:tcW w:w="2126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 w:bidi="ar-SA"/>
              </w:rPr>
              <w:t xml:space="preserve">Согласие с требованием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/>
            <w:tcW w:w="2409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ffffff" w:fill="ffffff"/>
            <w:tcBorders/>
            <w:tcW w:w="2177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25"/>
              <w:contextualSpacing w:val="true"/>
              <w:jc w:val="center"/>
              <w:rPr>
                <w:rFonts w:eastAsia="Calibri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  <w:t xml:space="preserve">1.1.6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ffffff" w:fill="ffffff"/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Место проведения работ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/>
            <w:tcW w:w="4678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0" w:before="0" w:line="240" w:lineRule="auto"/>
              <w:ind w:firstLine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Информация о месте изготовления указано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в Таблице 2 ТТ.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/>
            <w:tcW w:w="2126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 w:bidi="ar-SA"/>
              </w:rPr>
              <w:t xml:space="preserve">Согласие с требованием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/>
            <w:tcW w:w="2409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ffffff" w:fill="ffffff"/>
            <w:tcBorders/>
            <w:tcW w:w="2177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25"/>
              <w:contextualSpacing w:val="true"/>
              <w:jc w:val="center"/>
              <w:rPr>
                <w:rFonts w:eastAsia="Calibri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  <w:t xml:space="preserve">1.1.7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ffffff" w:fill="ffffff"/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Требования к оплате работ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/>
            <w:tcW w:w="4678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0" w:before="0" w:line="240" w:lineRule="auto"/>
              <w:ind w:firstLine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Оплата выполненных работ по условиям договора.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/>
            <w:tcW w:w="2126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/>
            <w:tcW w:w="2409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ffffff" w:fill="ffffff"/>
            <w:tcBorders/>
            <w:tcW w:w="2177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5"/>
              <w:contextualSpacing w:val="true"/>
              <w:jc w:val="center"/>
              <w:rPr>
                <w:rFonts w:eastAsia="Calibri"/>
                <w:b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ru-RU" w:eastAsia="ru-RU" w:bidi="ar-SA"/>
              </w:rPr>
              <w:t xml:space="preserve">3.</w:t>
            </w: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</w:p>
        </w:tc>
        <w:tc>
          <w:tcPr>
            <w:shd w:val="clear" w:color="ffffff" w:fill="ffffff"/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0" w:before="0" w:line="240" w:lineRule="auto"/>
              <w:ind w:firstLine="0"/>
              <w:jc w:val="left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val="ru-RU" w:eastAsia="ru-RU" w:bidi="ar-SA"/>
              </w:rPr>
              <w:t xml:space="preserve">Требование к опыту Участника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ffffff" w:fill="ffffff"/>
            <w:tcBorders/>
            <w:tcW w:w="4678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709"/>
              </w:tabs>
              <w:spacing w:after="0" w:before="0" w:line="240" w:lineRule="auto"/>
              <w:ind w:firstLine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В составе заявки Участник должен предоставить заполненную форму 9 Документации о закупке «Справка об опыте участника». При оценке заявки Участника будет учитываться наличие опыта выполнения аналогичных работ, соответствующих профилю лота (выполнение ра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бот по поверке СИ) за последние три года, предшествующие дате подачи заявки Участника на участие в настоящей закупочной процедуре. При этом учитываются только выполненные Участником договоры (с учетом правопреемственности). Не является отборочным критерием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/>
            <w:tcW w:w="212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/>
            <w:tcW w:w="2409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/>
            <w:tcW w:w="21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5"/>
              <w:contextualSpacing w:val="true"/>
              <w:jc w:val="center"/>
              <w:rPr>
                <w:rFonts w:eastAsia="Calibri"/>
                <w:b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ru-RU" w:eastAsia="ru-RU" w:bidi="ar-SA"/>
              </w:rPr>
              <w:t xml:space="preserve">4.</w:t>
            </w: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</w:p>
        </w:tc>
        <w:tc>
          <w:tcPr>
            <w:shd w:val="clear" w:color="ffffff" w:fill="ffffff"/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0" w:before="0" w:line="240" w:lineRule="auto"/>
              <w:ind w:firstLine="0"/>
              <w:jc w:val="left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val="ru-RU" w:eastAsia="ru-RU" w:bidi="ar-SA"/>
              </w:rPr>
              <w:t xml:space="preserve">Предпочтительность Участника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ffffff" w:fill="ffffff"/>
            <w:tcBorders/>
            <w:tcW w:w="4678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clear" w:leader="none" w:pos="708"/>
                <w:tab w:val="left" w:leader="none" w:pos="709"/>
              </w:tabs>
              <w:spacing w:after="0" w:before="0" w:line="240" w:lineRule="auto"/>
              <w:ind w:firstLine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Изготоление деталей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 осуществляются на месте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в г. Якутске или его пригородах.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/>
            <w:tcW w:w="212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ffffff" w:fill="ffffff"/>
            <w:tcBorders/>
            <w:tcW w:w="2409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/>
            <w:tcW w:w="21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34"/>
              <w:contextualSpacing w:val="true"/>
              <w:jc w:val="center"/>
              <w:rPr>
                <w:rFonts w:eastAsia="Calibri"/>
                <w:b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val="ru-RU" w:eastAsia="ru-RU" w:bidi="ar-SA"/>
              </w:rPr>
              <w:t xml:space="preserve">5.</w:t>
            </w: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</w:p>
        </w:tc>
        <w:tc>
          <w:tcPr>
            <w:gridSpan w:val="2"/>
            <w:tcBorders/>
            <w:tcW w:w="7655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0" w:before="0" w:line="240" w:lineRule="auto"/>
              <w:ind w:firstLine="0"/>
              <w:jc w:val="both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val="ru-RU" w:eastAsia="ru-RU" w:bidi="ar-SA"/>
              </w:rPr>
              <w:t xml:space="preserve">Требования к исполнителю (победителю закупки)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126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val="ru-RU" w:eastAsia="ru-RU" w:bidi="ar-SA"/>
              </w:rPr>
              <w:t xml:space="preserve">-//-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val="ru-RU" w:eastAsia="ru-RU" w:bidi="ar-SA"/>
              </w:rPr>
              <w:t xml:space="preserve">-//-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177" w:type="dxa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val="ru-RU" w:eastAsia="ru-RU" w:bidi="ar-SA"/>
              </w:rPr>
              <w:t xml:space="preserve">-//-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5"/>
              <w:jc w:val="center"/>
              <w:rPr>
                <w:rFonts w:eastAsia="Calibri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  <w:t xml:space="preserve">5.1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Требования к выполнению работ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tcBorders/>
            <w:tcW w:w="4678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 w:bidi="ar-SA"/>
              </w:rPr>
              <w:t xml:space="preserve">Исполнитель принимает на себя оказание метрологических услуг, организацию поверки / калибровки СИ качественно, в полном объеме, на высоком профессиональном уровне и в установленные сроки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tcBorders/>
            <w:tcW w:w="212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 w:bidi="ar-SA"/>
              </w:rPr>
              <w:t xml:space="preserve">Согласие с требованием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tcBorders/>
            <w:tcW w:w="21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5"/>
              <w:jc w:val="center"/>
              <w:rPr>
                <w:rFonts w:eastAsia="Calibri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  <w:t xml:space="preserve">5.2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Требования к выполнению работ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tcBorders/>
            <w:tcW w:w="4678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 w:bidi="ar-SA"/>
              </w:rPr>
              <w:t xml:space="preserve">Оказывать услуги силами только квалифицированных специалистов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 w:bidi="ar-SA"/>
              </w:rPr>
              <w:t xml:space="preserve"> и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 w:bidi="ar-SA"/>
              </w:rPr>
              <w:t xml:space="preserve"> прошедших соответствующую подготовку, квалификация, опыт и компетенция которых позволяет обеспечить надлежащее и качественное оказание услуг. 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 w:bidi="ar-SA"/>
              </w:rPr>
              <w:t xml:space="preserve">Сварщики должны иметь свидетельство НАКС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 w:bidi="ar-SA"/>
              </w:rPr>
              <w:t xml:space="preserve">Обеспечить наличие допусков, разрешений и лицензий, необходимых для оказания услуг.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оказании услуг.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bCs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Провести инструктаж персонала, задействованного при оказании услуг и обеспечить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 w:bidi="ar-SA"/>
              </w:rPr>
              <w:t xml:space="preserve">соблюдение (в том числе указанным персоналом)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требований по охране труда, пожарной безопасности, правил пропускного и внутриобъектового режима Заказчика в соответствии с законодательством Российской Федерации и локальными нормативными актами Заказчика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/>
            <w:tcW w:w="212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0" w:before="0"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tcBorders/>
            <w:tcW w:w="21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tabs>
                <w:tab w:val="left" w:leader="none" w:pos="426"/>
                <w:tab w:val="clear" w:leader="none" w:pos="708"/>
              </w:tabs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5"/>
              <w:jc w:val="center"/>
              <w:rPr>
                <w:rFonts w:eastAsia="Calibri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  <w:t xml:space="preserve">5.3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 w:bidi="ar-SA"/>
              </w:rPr>
              <w:t xml:space="preserve">Требования к приемке и качеству выполнения работ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tcBorders/>
            <w:tcW w:w="4678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Изготовление деталей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 осуществляться в сроки, установленные настоящим ТТ.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Недостатки работ (услуг), обнаруженные в ходе приемки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выполненных работ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 (а также, которые не могли быть установлены при обычном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 способе приемки услуг и, которые были умышленно скрыты Подрядчиком), фиксируются в соответствующем акте, подписываемом представителями Заказчика и Подрядчиком, с указанием срока и порядка их устранения, и устраняются Подрядчиком без дополнительной оплаты.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126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 w:bidi="ar-SA"/>
              </w:rPr>
              <w:t xml:space="preserve">Согласие с требованием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177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5"/>
              <w:jc w:val="center"/>
              <w:rPr>
                <w:rFonts w:eastAsia="Calibri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  <w:t xml:space="preserve">2.2.4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 w:bidi="ar-SA"/>
              </w:rPr>
              <w:t xml:space="preserve">Предоставление документации после выполнения работ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/>
            <w:tcW w:w="4678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Исполнитель, после проведения услуг по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изготовлению деталей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 в соответствии с «Порядком проведения поверки СИ, требования к знаку поверки и содержанию свидетельства о поверке», утвержденный приказом Минпромторга РФ от 02.07.2015 № 1815, оформляет: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33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-Свидетельства о поверке СИ;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33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-При отсутствии наименования средств измерений в списке Госреестра СИ РФ сертификат о калибровке средств измерений;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33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-Извещение о непригодности средств измерений;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-Акты выполненных работ, установленной формы, полный комплект бухгалтерских документов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tcBorders/>
            <w:tcW w:w="2126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177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/>
        <w:tc>
          <w:tcPr>
            <w:tcBorders/>
            <w:tcW w:w="850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 w:left="5"/>
              <w:jc w:val="center"/>
              <w:rPr>
                <w:rFonts w:eastAsia="Calibri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  <w:t xml:space="preserve">2.2.5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/>
            <w:tcW w:w="297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 w:bidi="ar-SA"/>
              </w:rPr>
              <w:t xml:space="preserve">Требования к гарантии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/>
            <w:tcW w:w="4678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-Надлежащее качество работ в полном объеме в соответствии с действующей нормативно-технической документацией;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-Выполнение всех видов работ в установленные сроки;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  <w:p>
            <w:pPr>
              <w:pStyle w:val="925"/>
              <w:widowControl w:val="false"/>
              <w:suppressLineNumbers w:val="false"/>
              <w:pBdr/>
              <w:spacing w:after="0" w:before="0" w:line="240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-Возмещение Заказчику причиненных убытков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r>
          </w:p>
        </w:tc>
        <w:tc>
          <w:tcPr>
            <w:tcBorders/>
            <w:tcW w:w="2126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177" w:type="dxa"/>
            <w:vAlign w:val="center"/>
            <w:textDirection w:val="lrTb"/>
            <w:noWrap w:val="false"/>
          </w:tcPr>
          <w:p>
            <w:pPr>
              <w:pStyle w:val="925"/>
              <w:keepNext w:val="true"/>
              <w:widowControl w:val="false"/>
              <w:suppressLineNumbers w:val="false"/>
              <w:pBdr/>
              <w:spacing w:after="0" w:before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pStyle w:val="925"/>
        <w:suppressLineNumbers w:val="false"/>
        <w:pBdr/>
        <w:spacing w:after="0" w:before="0" w:line="240" w:lineRule="auto"/>
        <w:ind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925"/>
        <w:pBdr/>
        <w:spacing w:after="0" w:before="0" w:line="240" w:lineRule="auto"/>
        <w:ind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925"/>
        <w:pBdr/>
        <w:spacing w:after="0" w:before="0" w:line="240" w:lineRule="auto"/>
        <w:ind/>
        <w:jc w:val="both"/>
        <w:rPr>
          <w:rFonts w:ascii="Times New Roman" w:hAnsi="Times New Roman" w:cs="Times New Roman"/>
          <w:sz w:val="20"/>
          <w:szCs w:val="20"/>
          <w:highlight w:val="none"/>
        </w:rPr>
      </w:pPr>
      <w:r>
        <w:rPr>
          <w:rFonts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  <w:highlight w:val="none"/>
        </w:rPr>
      </w:r>
    </w:p>
    <w:p>
      <w:pPr>
        <w:pStyle w:val="925"/>
        <w:pBdr/>
        <w:spacing w:after="0" w:before="0" w:line="240" w:lineRule="auto"/>
        <w:ind/>
        <w:jc w:val="both"/>
        <w:rPr>
          <w:rFonts w:ascii="Times New Roman" w:hAnsi="Times New Roman" w:cs="Times New Roman"/>
          <w:sz w:val="20"/>
          <w:szCs w:val="20"/>
          <w:highlight w:val="none"/>
        </w:rPr>
      </w:pPr>
      <w:r>
        <w:rPr>
          <w:rFonts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  <w:highlight w:val="none"/>
        </w:rPr>
      </w:r>
    </w:p>
    <w:p>
      <w:pPr>
        <w:pStyle w:val="925"/>
        <w:pBdr/>
        <w:spacing w:after="0" w:before="0" w:line="240" w:lineRule="auto"/>
        <w:ind/>
        <w:jc w:val="both"/>
        <w:rPr>
          <w:rFonts w:ascii="Times New Roman" w:hAnsi="Times New Roman" w:cs="Times New Roman"/>
          <w:sz w:val="20"/>
          <w:szCs w:val="20"/>
          <w:highlight w:val="none"/>
        </w:rPr>
      </w:pPr>
      <w:r>
        <w:rPr>
          <w:rFonts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  <w:highlight w:val="none"/>
        </w:rPr>
      </w:r>
    </w:p>
    <w:p>
      <w:pPr>
        <w:pStyle w:val="925"/>
        <w:pBdr/>
        <w:spacing w:after="0" w:before="0" w:line="240" w:lineRule="auto"/>
        <w:ind w:firstLine="0"/>
        <w:jc w:val="both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tbl>
      <w:tblPr>
        <w:tblW w:w="9571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Заказчик: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Подрядчик: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</w:tr>
    </w:tbl>
    <w:p>
      <w:pPr>
        <w:pBdr/>
        <w:spacing/>
        <w:ind/>
        <w:rPr>
          <w:highlight w:val="none"/>
        </w:rPr>
        <w:sectPr>
          <w:headerReference w:type="default" r:id="rId11"/>
          <w:headerReference w:type="first" r:id="rId12"/>
          <w:footerReference w:type="default" r:id="rId16"/>
          <w:footerReference w:type="first" r:id="rId17"/>
          <w:footnotePr>
            <w:numFmt w:val="decimal"/>
          </w:footnotePr>
          <w:endnotePr/>
          <w:type w:val="nextPage"/>
          <w:pgSz w:h="11906" w:orient="landscape" w:w="16838"/>
          <w:pgMar w:top="1134" w:right="851" w:bottom="381" w:left="1418" w:header="567" w:footer="285" w:gutter="0"/>
          <w:cols w:num="1" w:sep="0" w:space="1701" w:equalWidth="1"/>
        </w:sectPr>
      </w:pPr>
      <w:r>
        <w:rPr>
          <w:highlight w:val="none"/>
        </w:rPr>
        <w:br w:type="page" w:clear="all"/>
      </w:r>
      <w:r>
        <w:rPr>
          <w:highlight w:val="none"/>
        </w:rPr>
      </w:r>
    </w:p>
    <w:p>
      <w:pPr>
        <w:pStyle w:val="925"/>
        <w:pBdr/>
        <w:spacing w:line="240" w:lineRule="auto"/>
        <w:ind w:firstLine="0" w:left="5103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2.1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5103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к Договору подряда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5103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от «____» __________ 20 _ г. № ____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5103"/>
        <w:jc w:val="right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1035"/>
        <w:pBdr/>
        <w:shd w:val="clear" w:color="auto" w:fill="auto"/>
        <w:spacing/>
        <w:ind w:firstLine="0"/>
        <w:rPr>
          <w:sz w:val="24"/>
          <w:szCs w:val="24"/>
          <w:highlight w:val="none"/>
        </w:rPr>
      </w:pPr>
      <w:r>
        <w:rPr>
          <w:iCs/>
          <w:sz w:val="24"/>
          <w:szCs w:val="24"/>
          <w:highlight w:val="none"/>
        </w:rPr>
        <w:t xml:space="preserve">ФОРМА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35"/>
        <w:pBdr/>
        <w:shd w:val="clear" w:color="auto" w:fill="auto"/>
        <w:spacing/>
        <w:ind w:firstLine="0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Акта сдачи-приемки места производства </w:t>
      </w:r>
      <w:r>
        <w:rPr>
          <w:bCs/>
          <w:sz w:val="24"/>
          <w:szCs w:val="24"/>
          <w:highlight w:val="none"/>
          <w:lang w:val="ru-RU"/>
        </w:rPr>
        <w:t xml:space="preserve">Р</w:t>
      </w:r>
      <w:r>
        <w:rPr>
          <w:bCs/>
          <w:sz w:val="24"/>
          <w:szCs w:val="24"/>
          <w:highlight w:val="none"/>
        </w:rPr>
        <w:t xml:space="preserve">абот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tbl>
      <w:tblPr>
        <w:tblW w:w="4800" w:type="pct"/>
        <w:tblInd w:w="113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251"/>
      </w:tblGrid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51" w:type="dxa"/>
            <w:textDirection w:val="lrTb"/>
            <w:noWrap w:val="false"/>
          </w:tcPr>
          <w:p>
            <w:pPr>
              <w:pStyle w:val="1035"/>
              <w:widowControl w:val="false"/>
              <w:pBdr/>
              <w:shd w:val="clear" w:color="auto" w:fill="auto"/>
              <w:spacing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 w:val="0"/>
                <w:bCs/>
                <w:sz w:val="24"/>
                <w:szCs w:val="24"/>
                <w:highlight w:val="none"/>
              </w:rPr>
              <w:t xml:space="preserve">Акт сдачи-приемки места производства </w:t>
            </w:r>
            <w:r>
              <w:rPr>
                <w:b w:val="0"/>
                <w:bCs/>
                <w:sz w:val="24"/>
                <w:szCs w:val="24"/>
                <w:highlight w:val="none"/>
                <w:lang w:val="ru-RU"/>
              </w:rPr>
              <w:t xml:space="preserve">Р</w:t>
            </w:r>
            <w:r>
              <w:rPr>
                <w:b w:val="0"/>
                <w:bCs/>
                <w:sz w:val="24"/>
                <w:szCs w:val="24"/>
                <w:highlight w:val="none"/>
              </w:rPr>
              <w:t xml:space="preserve">абот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/>
              <w:ind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г.___________                                                                                    «_____» _________20_г.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____________________, именуемое далее «Подрядчик», в лице ________________, действующего на основании ______________,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Заказчик передал Подрядчику, а Подрядчик принял</w:t>
            </w:r>
            <w:r>
              <w:rPr>
                <w:bCs/>
                <w:sz w:val="24"/>
                <w:szCs w:val="24"/>
                <w:highlight w:val="none"/>
              </w:rPr>
              <w:t xml:space="preserve"> место производства Работ _____________________________ (указываются идентифицирующие признаки) </w:t>
            </w:r>
            <w:r>
              <w:rPr>
                <w:sz w:val="24"/>
                <w:szCs w:val="24"/>
                <w:highlight w:val="none"/>
              </w:rPr>
              <w:t xml:space="preserve">по Договору по</w:t>
            </w:r>
            <w:r>
              <w:rPr>
                <w:bCs/>
                <w:sz w:val="24"/>
                <w:szCs w:val="24"/>
                <w:highlight w:val="none"/>
              </w:rPr>
              <w:t xml:space="preserve">дряда №______ от _____________.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Место для производства Работ </w:t>
            </w:r>
            <w:r>
              <w:rPr>
                <w:sz w:val="24"/>
                <w:szCs w:val="24"/>
                <w:highlight w:val="none"/>
              </w:rPr>
              <w:t xml:space="preserve">Подрядчику</w:t>
            </w:r>
            <w:r>
              <w:rPr>
                <w:bCs/>
                <w:sz w:val="24"/>
                <w:szCs w:val="24"/>
                <w:highlight w:val="none"/>
              </w:rPr>
              <w:t xml:space="preserve"> в установленный Договором срок.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Претензии </w:t>
            </w:r>
            <w:r>
              <w:rPr>
                <w:sz w:val="24"/>
                <w:szCs w:val="24"/>
                <w:highlight w:val="none"/>
              </w:rPr>
              <w:t xml:space="preserve">Подрядчика</w:t>
            </w:r>
            <w:r>
              <w:rPr>
                <w:bCs/>
                <w:sz w:val="24"/>
                <w:szCs w:val="24"/>
                <w:highlight w:val="none"/>
              </w:rPr>
              <w:t xml:space="preserve"> (замечания и недостатки) к месту производства Работ: ____________________________________________________________________________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i/>
                <w:sz w:val="24"/>
                <w:szCs w:val="24"/>
                <w:highlight w:val="none"/>
              </w:rPr>
              <w:t xml:space="preserve">(указать конкретные претензии или указать «не имеются»)</w:t>
            </w:r>
            <w:r>
              <w:rPr>
                <w:sz w:val="24"/>
                <w:szCs w:val="24"/>
                <w:highlight w:val="none"/>
              </w:rPr>
              <w:t xml:space="preserve">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Претензии </w:t>
            </w:r>
            <w:r>
              <w:rPr>
                <w:sz w:val="24"/>
                <w:szCs w:val="24"/>
                <w:highlight w:val="none"/>
              </w:rPr>
              <w:t xml:space="preserve">Подрядчика</w:t>
            </w:r>
            <w:r>
              <w:rPr>
                <w:bCs/>
                <w:sz w:val="24"/>
                <w:szCs w:val="24"/>
                <w:highlight w:val="none"/>
              </w:rPr>
              <w:t xml:space="preserve"> (замечания и недостатки) к месту</w:t>
            </w:r>
            <w:r>
              <w:rPr>
                <w:sz w:val="24"/>
                <w:szCs w:val="24"/>
                <w:highlight w:val="none"/>
              </w:rPr>
              <w:t xml:space="preserve"> складирования </w:t>
            </w:r>
            <w:r>
              <w:rPr>
                <w:bCs/>
                <w:sz w:val="24"/>
                <w:szCs w:val="24"/>
                <w:highlight w:val="none"/>
              </w:rPr>
              <w:t xml:space="preserve">Материально-технических ресурсов и оборудования, Давальческих материалов и запасных частей и Оборудования Заказчика: _____________________________________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(</w:t>
            </w:r>
            <w:r>
              <w:rPr>
                <w:i/>
                <w:sz w:val="24"/>
                <w:szCs w:val="24"/>
                <w:highlight w:val="none"/>
              </w:rPr>
              <w:t xml:space="preserve">указать конкретные претензии или указать «не имеются»)</w:t>
            </w:r>
            <w:r>
              <w:rPr>
                <w:sz w:val="24"/>
                <w:szCs w:val="24"/>
                <w:highlight w:val="none"/>
              </w:rPr>
              <w:t xml:space="preserve">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/>
              <w:ind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tbl>
            <w:tblPr>
              <w:tblW w:w="9041" w:type="dxa"/>
              <w:tblInd w:w="0" w:type="dxa"/>
              <w:tblBorders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000" w:firstRow="0" w:lastRow="0" w:firstColumn="0" w:lastColumn="0" w:noHBand="0" w:noVBand="0"/>
            </w:tblPr>
            <w:tblGrid>
              <w:gridCol w:w="4520"/>
              <w:gridCol w:w="4520"/>
            </w:tblGrid>
            <w:tr>
              <w:trPr/>
              <w:tc>
                <w:tcPr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  <w:t xml:space="preserve">Заказчик:</w:t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</w:p>
              </w:tc>
              <w:tc>
                <w:tcPr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  <w:t xml:space="preserve">Подрядчик:</w:t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</w:p>
              </w:tc>
            </w:tr>
            <w:tr>
              <w:trPr/>
              <w:tc>
                <w:tcPr>
                  <w:shd w:val="clear" w:color="auto" w:fill="auto"/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</w:p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</w:p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  <w:t xml:space="preserve">_______________ / _______________</w:t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</w:p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</w:p>
              </w:tc>
              <w:tc>
                <w:tcPr>
                  <w:shd w:val="clear" w:color="auto" w:fill="auto"/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</w:p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</w:p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  <w:t xml:space="preserve">_______________ / _______________</w:t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</w:p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</w:p>
              </w:tc>
            </w:tr>
          </w:tbl>
          <w:p>
            <w:pPr>
              <w:pStyle w:val="1035"/>
              <w:widowControl w:val="false"/>
              <w:pBdr/>
              <w:shd w:val="clear" w:color="auto" w:fill="auto"/>
              <w:spacing w:after="120" w:before="0"/>
              <w:ind w:firstLine="0"/>
              <w:jc w:val="left"/>
              <w:rPr>
                <w:rFonts w:ascii="Times New Roman" w:hAnsi="Times New Roman"/>
                <w:i/>
                <w:iCs/>
                <w:sz w:val="24"/>
                <w:szCs w:val="24"/>
                <w:highlight w:val="none"/>
              </w:rPr>
            </w:pPr>
            <w:r>
              <w:rPr>
                <w:i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highlight w:val="none"/>
              </w:rPr>
            </w:r>
          </w:p>
        </w:tc>
      </w:tr>
    </w:tbl>
    <w:p>
      <w:pPr>
        <w:pStyle w:val="1035"/>
        <w:pBdr/>
        <w:spacing/>
        <w:ind w:firstLine="0"/>
        <w:jc w:val="left"/>
        <w:rPr>
          <w:rFonts w:ascii="Times New Roman" w:hAnsi="Times New Roman"/>
          <w:i/>
          <w:iCs/>
          <w:sz w:val="24"/>
          <w:szCs w:val="24"/>
          <w:highlight w:val="none"/>
        </w:rPr>
      </w:pPr>
      <w:r>
        <w:rPr>
          <w:i/>
          <w:iCs/>
          <w:sz w:val="24"/>
          <w:szCs w:val="24"/>
          <w:highlight w:val="none"/>
        </w:rPr>
      </w:r>
      <w:r>
        <w:rPr>
          <w:rFonts w:ascii="Times New Roman" w:hAnsi="Times New Roman"/>
          <w:i/>
          <w:iCs/>
          <w:sz w:val="24"/>
          <w:szCs w:val="24"/>
          <w:highlight w:val="none"/>
        </w:rPr>
      </w:r>
      <w:r>
        <w:rPr>
          <w:rFonts w:ascii="Times New Roman" w:hAnsi="Times New Roman"/>
          <w:i/>
          <w:iCs/>
          <w:sz w:val="24"/>
          <w:szCs w:val="24"/>
          <w:highlight w:val="none"/>
        </w:rPr>
      </w:r>
    </w:p>
    <w:tbl>
      <w:tblPr>
        <w:tblW w:w="9571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Заказчик: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Подрядчик: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</w:tr>
    </w:tbl>
    <w:p>
      <w:pPr>
        <w:pBdr/>
        <w:shd w:val="nil"/>
        <w:spacing/>
        <w:ind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br w:type="page" w:clear="all"/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5103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2.2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5103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к Договору подряда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5103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от «____» __________ 20 _ г. № ____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</w:p>
    <w:p>
      <w:pPr>
        <w:pStyle w:val="1035"/>
        <w:pBdr/>
        <w:shd w:val="clear" w:color="auto" w:fill="auto"/>
        <w:spacing/>
        <w:ind w:firstLine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ФОРМА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35"/>
        <w:pBdr/>
        <w:shd w:val="clear" w:color="auto" w:fill="auto"/>
        <w:spacing/>
        <w:ind w:firstLine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Акта сдачи-приемки технической и иной документации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tbl>
      <w:tblPr>
        <w:tblW w:w="4800" w:type="pct"/>
        <w:tblInd w:w="113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251"/>
      </w:tblGrid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51" w:type="dxa"/>
            <w:textDirection w:val="lrTb"/>
            <w:noWrap w:val="false"/>
          </w:tcPr>
          <w:p>
            <w:pPr>
              <w:pStyle w:val="1035"/>
              <w:widowControl w:val="false"/>
              <w:pBdr/>
              <w:shd w:val="clear" w:color="auto" w:fill="auto"/>
              <w:spacing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 w:val="0"/>
                <w:bCs/>
                <w:sz w:val="24"/>
                <w:szCs w:val="24"/>
                <w:highlight w:val="none"/>
              </w:rPr>
              <w:t xml:space="preserve">Акт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1035"/>
              <w:widowControl w:val="false"/>
              <w:pBdr/>
              <w:shd w:val="clear" w:color="auto" w:fill="auto"/>
              <w:spacing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 w:val="0"/>
                <w:bCs/>
                <w:sz w:val="24"/>
                <w:szCs w:val="24"/>
                <w:highlight w:val="none"/>
              </w:rPr>
              <w:t xml:space="preserve">сдачи-приемки технической и иной документации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/>
              <w:ind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г.___________                                                                                    «_____» _________20_г.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____________________, именуемое далее «Подрядчик», в лице ________________, действующего на основании ______________,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Заказчик передал Подрядчику, а Подрядчик принял</w:t>
            </w:r>
            <w:r>
              <w:rPr>
                <w:bCs/>
                <w:sz w:val="24"/>
                <w:szCs w:val="24"/>
                <w:highlight w:val="none"/>
              </w:rPr>
              <w:t xml:space="preserve"> следующую </w:t>
            </w:r>
            <w:r>
              <w:rPr>
                <w:sz w:val="24"/>
                <w:szCs w:val="24"/>
                <w:highlight w:val="none"/>
              </w:rPr>
              <w:t xml:space="preserve">техническую и иную документацию для выполнения Работ по Договору</w:t>
            </w:r>
            <w:r>
              <w:rPr>
                <w:bCs/>
                <w:sz w:val="24"/>
                <w:szCs w:val="24"/>
                <w:highlight w:val="none"/>
              </w:rPr>
              <w:t xml:space="preserve"> подряда №______ от _____________: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__________________________________________________________________________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__________________________________________________________________________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__________________________________________________________________________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Документация передана </w:t>
            </w:r>
            <w:r>
              <w:rPr>
                <w:sz w:val="24"/>
                <w:szCs w:val="24"/>
                <w:highlight w:val="none"/>
              </w:rPr>
              <w:t xml:space="preserve">Подрядчик</w:t>
            </w:r>
            <w:r>
              <w:rPr>
                <w:bCs/>
                <w:sz w:val="24"/>
                <w:szCs w:val="24"/>
                <w:highlight w:val="none"/>
              </w:rPr>
              <w:t xml:space="preserve">у в установленный Договором срок.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/>
              <w:ind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tbl>
            <w:tblPr>
              <w:tblW w:w="9041" w:type="dxa"/>
              <w:tblInd w:w="0" w:type="dxa"/>
              <w:tblBorders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000" w:firstRow="0" w:lastRow="0" w:firstColumn="0" w:lastColumn="0" w:noHBand="0" w:noVBand="0"/>
            </w:tblPr>
            <w:tblGrid>
              <w:gridCol w:w="4520"/>
              <w:gridCol w:w="4520"/>
            </w:tblGrid>
            <w:tr>
              <w:trPr/>
              <w:tc>
                <w:tcPr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sz w:val="24"/>
                      <w:szCs w:val="24"/>
                      <w:highlight w:val="none"/>
                    </w:rPr>
                  </w:pPr>
                  <w:r>
                    <w:rPr>
                      <w:bCs/>
                      <w:sz w:val="24"/>
                      <w:szCs w:val="24"/>
                      <w:highlight w:val="none"/>
                    </w:rPr>
                    <w:t xml:space="preserve">Заказчик:</w:t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</w:p>
              </w:tc>
              <w:tc>
                <w:tcPr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sz w:val="24"/>
                      <w:szCs w:val="24"/>
                      <w:highlight w:val="none"/>
                    </w:rPr>
                  </w:pPr>
                  <w:r>
                    <w:rPr>
                      <w:bCs/>
                      <w:sz w:val="24"/>
                      <w:szCs w:val="24"/>
                      <w:highlight w:val="none"/>
                    </w:rPr>
                    <w:t xml:space="preserve">Подрядчик:</w:t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</w:p>
              </w:tc>
            </w:tr>
            <w:tr>
              <w:trPr/>
              <w:tc>
                <w:tcPr>
                  <w:shd w:val="clear" w:color="auto" w:fill="auto"/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</w:p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</w:p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  <w:t xml:space="preserve">_______________ / _______________</w:t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</w:p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</w:p>
              </w:tc>
              <w:tc>
                <w:tcPr>
                  <w:shd w:val="clear" w:color="auto" w:fill="auto"/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</w:p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</w:p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  <w:t xml:space="preserve">_______________ / _______________</w:t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</w:p>
                <w:p>
                  <w:pPr>
                    <w:pStyle w:val="925"/>
                    <w:widowControl w:val="false"/>
                    <w:pBdr/>
                    <w:spacing w:line="240" w:lineRule="auto"/>
                    <w:ind w:firstLine="0"/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none"/>
                    </w:rPr>
                  </w:r>
                </w:p>
              </w:tc>
            </w:tr>
          </w:tbl>
          <w:p>
            <w:pPr>
              <w:pStyle w:val="1035"/>
              <w:widowControl w:val="false"/>
              <w:pBdr/>
              <w:shd w:val="clear" w:color="auto" w:fill="auto"/>
              <w:spacing/>
              <w:ind w:firstLine="0"/>
              <w:jc w:val="left"/>
              <w:rPr>
                <w:rFonts w:ascii="Times New Roman" w:hAnsi="Times New Roman"/>
                <w:i/>
                <w:iCs/>
                <w:sz w:val="24"/>
                <w:szCs w:val="24"/>
                <w:highlight w:val="none"/>
              </w:rPr>
            </w:pPr>
            <w:r>
              <w:rPr>
                <w:i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highlight w:val="none"/>
              </w:rPr>
            </w:r>
          </w:p>
          <w:p>
            <w:pPr>
              <w:pStyle w:val="1035"/>
              <w:widowControl w:val="false"/>
              <w:pBdr/>
              <w:shd w:val="clear" w:color="auto" w:fill="auto"/>
              <w:spacing w:after="120" w:before="0"/>
              <w:ind w:firstLine="0"/>
              <w:jc w:val="left"/>
              <w:rPr>
                <w:rFonts w:ascii="Times New Roman" w:hAnsi="Times New Roman"/>
                <w:i/>
                <w:iCs/>
                <w:sz w:val="24"/>
                <w:szCs w:val="24"/>
                <w:highlight w:val="none"/>
              </w:rPr>
            </w:pPr>
            <w:r>
              <w:rPr>
                <w:i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highlight w:val="none"/>
              </w:rPr>
            </w:r>
          </w:p>
        </w:tc>
      </w:tr>
    </w:tbl>
    <w:p>
      <w:pPr>
        <w:pStyle w:val="1035"/>
        <w:pBdr/>
        <w:spacing/>
        <w:ind w:firstLine="0"/>
        <w:jc w:val="left"/>
        <w:rPr>
          <w:rFonts w:ascii="Times New Roman" w:hAnsi="Times New Roman"/>
          <w:i/>
          <w:iCs/>
          <w:sz w:val="24"/>
          <w:szCs w:val="24"/>
          <w:highlight w:val="none"/>
        </w:rPr>
      </w:pPr>
      <w:r>
        <w:rPr>
          <w:i/>
          <w:iCs/>
          <w:sz w:val="24"/>
          <w:szCs w:val="24"/>
          <w:highlight w:val="none"/>
        </w:rPr>
      </w:r>
      <w:r>
        <w:rPr>
          <w:rFonts w:ascii="Times New Roman" w:hAnsi="Times New Roman"/>
          <w:i/>
          <w:iCs/>
          <w:sz w:val="24"/>
          <w:szCs w:val="24"/>
          <w:highlight w:val="none"/>
        </w:rPr>
      </w:r>
      <w:r>
        <w:rPr>
          <w:rFonts w:ascii="Times New Roman" w:hAnsi="Times New Roman"/>
          <w:i/>
          <w:iCs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5103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tbl>
      <w:tblPr>
        <w:tblW w:w="9571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Заказчик: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Подрядчик: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</w:tr>
    </w:tbl>
    <w:p>
      <w:pPr>
        <w:pBdr/>
        <w:shd w:val="nil"/>
        <w:spacing/>
        <w:ind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br w:type="page" w:clear="all"/>
      </w:r>
      <w:r>
        <w:rPr>
          <w:sz w:val="24"/>
          <w:szCs w:val="24"/>
          <w:highlight w:val="none"/>
        </w:rPr>
      </w:r>
    </w:p>
    <w:p>
      <w:pPr>
        <w:pStyle w:val="925"/>
        <w:pageBreakBefore w:val="false"/>
        <w:pBdr/>
        <w:spacing w:line="240" w:lineRule="auto"/>
        <w:ind w:firstLine="0" w:left="5103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3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5103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к Договору подряда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5103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от «____» __________ 20 _ г. № ____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right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/>
        <w:jc w:val="center"/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Перечень допусков, разрешений и лицензий Подрядчика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</w:p>
    <w:tbl>
      <w:tblPr>
        <w:tblW w:w="5000" w:type="pct"/>
        <w:tblInd w:w="113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80"/>
        <w:gridCol w:w="2158"/>
        <w:gridCol w:w="1230"/>
        <w:gridCol w:w="1090"/>
        <w:gridCol w:w="939"/>
        <w:gridCol w:w="1280"/>
        <w:gridCol w:w="2259"/>
      </w:tblGrid>
      <w:tr>
        <w:trPr>
          <w:trHeight w:val="214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№ </w:t>
            </w:r>
            <w:r>
              <w:rPr>
                <w:bCs/>
                <w:sz w:val="24"/>
                <w:szCs w:val="24"/>
                <w:highlight w:val="none"/>
              </w:rPr>
              <w:t xml:space="preserve">п/п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Разрешительный документ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0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Номер, дата выдачи,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кем выдан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Разрешаемая деятельность (виды деятельности)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Начало действия разрешительного документа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Окончание действия разрешительного документа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59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Ограничения (условия) использования разрешительного документа (осуществления разрешаемой деятельности)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0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59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</w:tr>
      <w:tr>
        <w:trPr>
          <w:trHeight w:val="5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0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59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</w:tr>
      <w:tr>
        <w:trPr>
          <w:trHeight w:val="5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0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9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59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</w:tr>
    </w:tbl>
    <w:p>
      <w:pPr>
        <w:pStyle w:val="925"/>
        <w:pBdr/>
        <w:spacing w:line="240" w:lineRule="auto"/>
        <w:ind/>
        <w:jc w:val="center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/>
        <w:jc w:val="center"/>
        <w:rPr>
          <w:rFonts w:ascii="Times New Roman" w:hAnsi="Times New Roman"/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tbl>
      <w:tblPr>
        <w:tblW w:w="9571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Заказчик: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Подрядчик: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</w:tr>
    </w:tbl>
    <w:p>
      <w:pPr>
        <w:pBdr/>
        <w:shd w:val="nil"/>
        <w:spacing/>
        <w:ind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br w:type="page" w:clear="all"/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5103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4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5103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к Договору подряда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5103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от «____» __________ 20 _ г. № ____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9"/>
        <w:jc w:val="center"/>
        <w:rPr>
          <w:rFonts w:ascii="Times New Roman" w:hAnsi="Times New Roman"/>
          <w:bCs/>
          <w:color w:val="000000"/>
          <w:sz w:val="24"/>
          <w:szCs w:val="24"/>
          <w:highlight w:val="none"/>
        </w:rPr>
      </w:pPr>
      <w:r>
        <w:rPr>
          <w:bCs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bCs/>
          <w:color w:val="000000"/>
          <w:sz w:val="24"/>
          <w:szCs w:val="24"/>
          <w:highlight w:val="none"/>
        </w:rPr>
      </w:r>
      <w:r>
        <w:rPr>
          <w:rFonts w:ascii="Times New Roman" w:hAnsi="Times New Roman"/>
          <w:bCs/>
          <w:color w:val="000000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9"/>
        <w:jc w:val="center"/>
        <w:rPr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Перечень передаваемых Давальческих материалов и запасных частей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9"/>
        <w:jc w:val="center"/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tbl>
      <w:tblPr>
        <w:tblW w:w="9571" w:type="dxa"/>
        <w:tblInd w:w="113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4"/>
        <w:gridCol w:w="6236"/>
        <w:gridCol w:w="1283"/>
        <w:gridCol w:w="1517"/>
      </w:tblGrid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9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№ </w:t>
            </w:r>
            <w:r>
              <w:rPr>
                <w:bCs/>
                <w:sz w:val="24"/>
                <w:szCs w:val="24"/>
                <w:highlight w:val="none"/>
              </w:rPr>
              <w:t xml:space="preserve">п/п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9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Наименование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3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9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Ед.изм.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7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9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Количество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9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9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Лист стальной 4мм 1,5х6 горячекатанный, марка РСВ</w:t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3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9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тонн</w:t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7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9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1,132</w:t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9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9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Лист стальной 5мм 1,5х6 горячекатанный, марка РСВ</w:t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3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9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тонн</w:t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7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9"/>
              <w:jc w:val="center"/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2,824</w:t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none"/>
              </w:rPr>
            </w:r>
          </w:p>
        </w:tc>
      </w:tr>
    </w:tbl>
    <w:p>
      <w:pPr>
        <w:pStyle w:val="925"/>
        <w:pBdr/>
        <w:spacing w:line="240" w:lineRule="auto"/>
        <w:ind w:firstLine="9"/>
        <w:jc w:val="center"/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9"/>
        <w:jc w:val="center"/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tbl>
      <w:tblPr>
        <w:tblW w:w="9571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Заказчик: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Подрядчик: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</w:tr>
    </w:tbl>
    <w:p>
      <w:pPr>
        <w:pStyle w:val="925"/>
        <w:pBdr/>
        <w:spacing w:line="240" w:lineRule="auto"/>
        <w:ind w:firstLine="0"/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9"/>
        <w:jc w:val="center"/>
        <w:rPr>
          <w:rFonts w:ascii="Times New Roman" w:hAnsi="Times New Roman"/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highlight w:val="none"/>
        </w:rPr>
        <w:br w:type="page" w:clear="all"/>
      </w:r>
      <w:r>
        <w:rPr>
          <w:rFonts w:ascii="Times New Roman" w:hAnsi="Times New Roman"/>
          <w:bCs/>
          <w:sz w:val="24"/>
          <w:szCs w:val="24"/>
          <w:highlight w:val="none"/>
        </w:rPr>
      </w:r>
      <w:r>
        <w:rPr>
          <w:rFonts w:ascii="Times New Roman" w:hAnsi="Times New Roman"/>
          <w:bCs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5103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5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5103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к Договору подряда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 w:left="5103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от «____» __________ 20 _ г. № ____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88" w:lineRule="auto"/>
        <w:ind/>
        <w:jc w:val="right"/>
        <w:rPr>
          <w:rFonts w:ascii="Times New Roman" w:hAnsi="Times New Roman"/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Порядок передачи и учета Давальческих материалов и запасных частей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  <w:r>
        <w:rPr>
          <w:rFonts w:ascii="Times New Roman" w:hAnsi="Times New Roman"/>
          <w:b/>
          <w:sz w:val="24"/>
          <w:szCs w:val="24"/>
          <w:highlight w:val="none"/>
        </w:rPr>
      </w:r>
    </w:p>
    <w:p>
      <w:pPr>
        <w:pStyle w:val="1024"/>
        <w:numPr>
          <w:ilvl w:val="0"/>
          <w:numId w:val="6"/>
        </w:numPr>
        <w:pBdr/>
        <w:tabs>
          <w:tab w:val="clear" w:leader="none" w:pos="709"/>
          <w:tab w:val="left" w:leader="none" w:pos="1134"/>
        </w:tabs>
        <w:spacing/>
        <w:ind w:firstLine="709" w:left="0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Давальческие материалы и запасные части передаются Заказчиком Подрядчику для выполнения работ по договору в следующем порядке: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4"/>
        <w:numPr>
          <w:ilvl w:val="0"/>
          <w:numId w:val="16"/>
        </w:numPr>
        <w:pBdr/>
        <w:spacing/>
        <w:ind w:firstLine="709" w:left="0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</w:t>
      </w:r>
      <w:r>
        <w:rPr>
          <w:sz w:val="24"/>
          <w:szCs w:val="24"/>
          <w:highlight w:val="none"/>
        </w:rPr>
        <w:t xml:space="preserve">т, Подрядчик должен направить Заказчику письменную заявку, подписанную уполномоченным лицом, с указанием номенклатуры и количества Давальческих материалов и запасных частей и приложением документов, подтверждающих право на получение материальных ценностей;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4"/>
        <w:numPr>
          <w:ilvl w:val="0"/>
          <w:numId w:val="16"/>
        </w:numPr>
        <w:pBdr/>
        <w:spacing/>
        <w:ind w:firstLine="709" w:left="0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Заказчик в течение 3 (трех) рабочих дней со дня получения письменной заявки от Подрядчика или в иной согласованный с Подрядчиком срок осуществляет передачу, а Подрядчик приемку, доставку до Объекта, разгрузку и складирование п</w:t>
      </w:r>
      <w:r>
        <w:rPr>
          <w:sz w:val="24"/>
          <w:szCs w:val="24"/>
          <w:highlight w:val="none"/>
        </w:rPr>
        <w:t xml:space="preserve">олученных со склада Заказчика Давальческих материалов и запасных частей по Накладной на отпуск материалов на сторону, оформленной по унифицированной форме № М-15, утвержденной Постановлением Госкомстата России от 30.10.1997 №71а) (далее – Накладная М-15);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4"/>
        <w:numPr>
          <w:ilvl w:val="0"/>
          <w:numId w:val="16"/>
        </w:numPr>
        <w:pBdr/>
        <w:spacing/>
        <w:ind w:firstLine="709" w:left="0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проверка соответствия показателей качества передаваемых Заказчиком Подрядчику Давальческих материалов и запасных частей требованиям стандартов, технических условий и их комплектности (входной контроль качества) осуществляется</w:t>
      </w:r>
      <w:r>
        <w:rPr>
          <w:sz w:val="24"/>
          <w:szCs w:val="24"/>
          <w:highlight w:val="none"/>
        </w:rPr>
        <w:t xml:space="preserve"> Подрядчиком до момента подписания Накладной М-15. В случае обнаружения каких-либо недостатков Подрядчик должен незамедлительно сообщить об этом Заказчику, приемка Давальческих материалов и запасных частей по Накладной М-15 в этом случае не осуществляется.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4"/>
        <w:numPr>
          <w:ilvl w:val="0"/>
          <w:numId w:val="6"/>
        </w:numPr>
        <w:pBdr/>
        <w:tabs>
          <w:tab w:val="clear" w:leader="none" w:pos="709"/>
          <w:tab w:val="left" w:leader="none" w:pos="1134"/>
        </w:tabs>
        <w:spacing/>
        <w:ind w:firstLine="709" w:left="0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Подрядчик несет риск </w:t>
      </w:r>
      <w:r>
        <w:rPr>
          <w:sz w:val="24"/>
          <w:szCs w:val="24"/>
          <w:highlight w:val="none"/>
        </w:rPr>
        <w:t xml:space="preserve">случайной гибели, а также ответственность за сохранность, утрату или повреждение полученных Давальческих материалов и запасных частей с даты подписания им Накладной М-15 до даты подписания Сторонами Акта о расходе Давальческих материалов и запасных частей.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4"/>
        <w:numPr>
          <w:ilvl w:val="0"/>
          <w:numId w:val="6"/>
        </w:numPr>
        <w:pBdr/>
        <w:tabs>
          <w:tab w:val="clear" w:leader="none" w:pos="709"/>
          <w:tab w:val="left" w:leader="none" w:pos="1134"/>
        </w:tabs>
        <w:spacing/>
        <w:ind w:firstLine="709" w:left="0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Подрядчик обязан обеспечить эффективное использование по назначению переданных Заказчиком Давальческих материалов и запасных частей. В случае повреж</w:t>
      </w:r>
      <w:r>
        <w:rPr>
          <w:sz w:val="24"/>
          <w:szCs w:val="24"/>
          <w:highlight w:val="none"/>
        </w:rPr>
        <w:t xml:space="preserve">дения, перерасхода,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4"/>
        <w:numPr>
          <w:ilvl w:val="0"/>
          <w:numId w:val="6"/>
        </w:numPr>
        <w:pBdr/>
        <w:tabs>
          <w:tab w:val="clear" w:leader="none" w:pos="709"/>
          <w:tab w:val="left" w:leader="none" w:pos="1134"/>
        </w:tabs>
        <w:spacing/>
        <w:ind w:firstLine="709" w:left="0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Ежемесячно, не позднее последнего дня отчетного месяца,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</w:t>
      </w:r>
      <w:r>
        <w:rPr>
          <w:color w:val="000000"/>
          <w:spacing w:val="-3"/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4"/>
        <w:numPr>
          <w:ilvl w:val="0"/>
          <w:numId w:val="6"/>
        </w:numPr>
        <w:pBdr/>
        <w:tabs>
          <w:tab w:val="clear" w:leader="none" w:pos="709"/>
          <w:tab w:val="left" w:leader="none" w:pos="1134"/>
        </w:tabs>
        <w:spacing/>
        <w:ind w:firstLine="709" w:left="0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Возврат Заказчику неиспользованных Подрядчиком Давальческих материалов и запасных частей осуществляется по Накладной М-15 в течение 3</w:t>
      </w:r>
      <w:r>
        <w:rPr>
          <w:sz w:val="24"/>
          <w:szCs w:val="24"/>
          <w:highlight w:val="none"/>
        </w:rPr>
        <w:t xml:space="preserve"> (трех) рабочих дней после окончания Работ по Объекту, а также в случае прекращения (расторжения) Договора. В случае невозврата Заказчику неиспользованных Подрядчиком Давальческих материалов и запасных частей, в предусмотренный настоящим пунктом срок, а та</w:t>
      </w:r>
      <w:r>
        <w:rPr>
          <w:sz w:val="24"/>
          <w:szCs w:val="24"/>
          <w:highlight w:val="none"/>
        </w:rPr>
        <w:t xml:space="preserve">кже в тех случаях, когда Подрядчик допустит необоснованный перерасход Давальческих материалов и запасных частей при выполнении Работ, Заказчик вправе потребовать от Подрядчика возмещения стоимости невозвращенных и / или перерасходованных Давальческих матер</w:t>
      </w:r>
      <w:r>
        <w:rPr>
          <w:sz w:val="24"/>
          <w:szCs w:val="24"/>
          <w:highlight w:val="none"/>
        </w:rPr>
        <w:t xml:space="preserve">иалов и запасных частей, в том числе, путем удержания их стоимости из выплачиваемых Подрядчику по Договору сумм. Стоимость невозвращенных / перерасходованных Давальческих материалов и запасных частей определяется исходя из цены, указанной в Накладной М-15.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4"/>
        <w:pBdr/>
        <w:spacing/>
        <w:ind w:firstLine="709" w:left="0"/>
        <w:jc w:val="both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tbl>
      <w:tblPr>
        <w:tblW w:w="9571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Заказчик: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Подрядчик: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 /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 / _______________ /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</w:tr>
    </w:tbl>
    <w:p>
      <w:pPr>
        <w:pStyle w:val="925"/>
        <w:pBdr/>
        <w:spacing w:line="240" w:lineRule="auto"/>
        <w:ind w:firstLine="0" w:left="5103"/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highlight w:val="none"/>
        </w:rPr>
        <w:br w:type="page" w:clear="all"/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false"/>
        <w:pBdr/>
        <w:spacing w:line="240" w:lineRule="auto"/>
        <w:ind/>
        <w:jc w:val="right"/>
        <w:rPr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Приложение № 6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false"/>
        <w:pBdr/>
        <w:spacing w:line="240" w:lineRule="auto"/>
        <w:ind/>
        <w:jc w:val="right"/>
        <w:rPr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к Договору подряда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false"/>
        <w:pBdr/>
        <w:spacing w:line="240" w:lineRule="auto"/>
        <w:ind/>
        <w:jc w:val="right"/>
        <w:rPr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от «____» __________ 20 _ г. № _____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false"/>
        <w:pBdr/>
        <w:spacing w:line="240" w:lineRule="auto"/>
        <w:ind/>
        <w:jc w:val="center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Соглашение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об использовании электронного документооборот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pBdr/>
        <w:spacing w:line="240" w:lineRule="auto"/>
        <w:ind w:firstLine="0"/>
        <w:jc w:val="center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Термины и определения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Для целей настоящего Соглашения используются следующие понятия и определения: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«Входящий документ»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 – документ, получаемый Получающей стороной через ЭДО.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«Документ»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 – общее название документов, которыми обмениваются Стороны настоящего Соглашения.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«Исходящий документ» 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– документ, создаваемый Направляющей стороной в рамках осуществления финансово-хозяйственной деятельности для отправки через ЭДО.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«Квалифицированная электронная подпись (КЭП)» 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– усиленная квалифицированная электронная подпись, соответствующая требованиям Федерального закона от 06.04.2011 № 63-ФЗ «Об электронной подписи» и действующему законодательству РФ в сфере электронной подписи.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«Оператор» 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– организация, входящая в систему доверенных удостоверяющих центров ФНС России,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«Направляющая Сторона» 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– Сторона ЭДО, которая направляет посредством системы ЭДО другой Стороне Документ, подписанный КЭП.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«Неформализованный документ»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 – документ, участвующий в электронном документообороте, формат которого не утвержден уполномоченным органом государственной власти; формат соответствующего документа в целях исполнения настоящего Соглашения определяется Сторонами.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«Получающая Сторона» 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– Сторона ЭДО, которая получает посредством системы ЭДО Документ, подписанный КЭП другой Стороны.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«Прямой обмен (ПО)» 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– обмен электронными документами между хозяйствующими субъектами без участия Оператора.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«Удостоверяющий центр (УЦ)»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 - юридическое лицо или индивидуальный предприниматель, осуществляющий функции по созданию и выдаче сертификатов ключей проверки электронных подписей, а также иные функции, предусмотренные ФЗ «Об электронной подписи».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false"/>
        <w:pBdr/>
        <w:tabs>
          <w:tab w:val="left" w:leader="none" w:pos="567"/>
          <w:tab w:val="clear" w:leader="none" w:pos="709"/>
        </w:tabs>
        <w:spacing w:after="0" w:before="0" w:line="240" w:lineRule="auto"/>
        <w:ind w:right="0" w:firstLine="567" w:left="0"/>
        <w:jc w:val="both"/>
        <w:rPr>
          <w:highlight w:val="none"/>
          <w:shd w:val="clear" w:color="auto" w:fill="auto"/>
        </w:rPr>
      </w:pPr>
      <w:r>
        <w:rPr>
          <w:b/>
          <w:bCs/>
          <w:color w:val="000000"/>
          <w:sz w:val="24"/>
          <w:szCs w:val="24"/>
          <w:highlight w:val="none"/>
          <w:shd w:val="clear" w:color="auto" w:fill="auto"/>
          <w:lang w:val="ru-RU" w:eastAsia="en-US"/>
        </w:rPr>
        <w:t xml:space="preserve">«Универсальный передаточный документ (УПД)»</w:t>
      </w:r>
      <w:r>
        <w:rPr>
          <w:b w:val="0"/>
          <w:bCs w:val="0"/>
          <w:color w:val="000000"/>
          <w:sz w:val="24"/>
          <w:szCs w:val="24"/>
          <w:highlight w:val="none"/>
          <w:shd w:val="clear" w:color="auto" w:fill="auto"/>
          <w:lang w:val="ru-RU" w:eastAsia="en-US"/>
        </w:rPr>
        <w:t xml:space="preserve"> – форма документа, рекомендованная для применения письмом ФНС России от 21.10.2013 № ММВ-20-3/96@ (объединяет реквизиты счета-фактуры и первичного документа о передаче товаров, работ, услуг).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«Формализованный документ»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 – документ, участвующий в электронном документообороте, формат которого утвержден уполномоченным органом государственной власти.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«Электронный документ»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 – документ, направляемый/получаемый посредством электронного документооборота.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«Электронный документооборот (ЭДО)»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 – процесс обмена между Сторонами через Оператора или напрямую в порядке, предусмотренном настоящим Соглашением, документами, составленными в электронном виде и подписанными КЭП соответствующей Стороны.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0" w:left="0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1. Предмет соглашения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1.1. В целях оптимизации документооборота между Сторонами, а также повышения уровня сохранения и защиты передаваемых документов и информации, содержащейся в них, Стороны пришли к соглашению о внедрении систе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мы электронного документооборота и организации электронного обмена документами по договорам, заключенным между Сторонами на дату подписания настоящего Соглашения, а также по всем последующим договорам и / или соглашениям, которые будут заключены Сторонами.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1.2. Стороны соглашаются направлять и получать электронные документы, оформляемые по правоотношениям, указанным в п. 1.1. настоящего Соглашения, соглашаются признавать полученн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ые (направленные) электронные документы, перечень и форматы которых приведены в Приложении № 1 к настоящему Соглашению (далее – "Сфера действия"), равнозначными аналогичным документам на бумажных носителях с собственноручной подписью и заверенных печатью.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Стороны для органи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зации ЭДО используют квалифицированную электронную подпись, что предполагает получение Поставщиком и Покупателем сертификатов ключа проверки электронной подписи в аккредитованном удостоверяющем центре (далее – "УЦ") в соответствии с нормами Закона N 63-ФЗ.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Электронный документооборот Стороны осуществляют в соответствии с Гражданским кодексом Российской Федерации, законами и иными нормативными правовыми актами, регулирующими сферу применения электронного документооборота.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1.3. Стороны признают, что получение документов в электронном виде и подписанных КЭП в порядке, установленном нас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тоящим Соглашением,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условием, позволяющим установить, что электронный документ исходит от Стороны, его направившей.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1.4. При осуществлении обмена электронными документами Стороны используют форматы документов, которые утверждены приказами ФНС (формализованные документы). Если форматы документов не у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тверждены, то Стороны используют согласованные между собой форматы (неформализованные документы). При составлении электронных документов Стороны руководствуются форматами документов, действующими на дату оформления соответствующего электронного документа.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2. Признание электронных документов равнозначными документам на бумажном носителе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2.1. Электронный документ, подписанный КЭП, содержание которого соответствует требованиям нормативных правовых актов, должен приниматься Сторонами к у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чету в качестве первичного учетного документа, а также налогового документа и (или) регистра, используется в качестве доказательства в судебных разбирательствах, предоставляется в государственные органы по запросам последних, и в прочих отношениях Сторон.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2.2. Подписание электронного документа, бумажный аналог которого должен содержать подписи и печати обеих сторон, осуществляется путем последовательного подписания данного электронного док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умента каждой из Сторон. Доказательством подписания электронного документа Получающей Стороной может являться в том числе ее КЭП с идентификатором подписанного документа, т.е. без повторного приложения самого документа, подписанного Направляющей Стороной.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2.3. Каждая из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 Сторон несет ответственность за обеспечение конфиденциальности ключей КЭП, недопущение использования принадлежащих ей ключей без ее согласия. Если в сертификате КЭП не указан орган или физическое лицо, действующее от имени организации при подписании элект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ронного документа, то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2.4. При компрометации или подозрении на компрометацию ключа КЭП, т.е. при ознакомлении или подозрении на ознакомление неуполно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моченного лица с ключом КЭП,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иката скомпрометированного ключа КЭП.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проверки. Скомпрометированные ключи уничтожаются Сторонами самос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тоятельно. Сторона, получившая сообщение о компрометации и / или замене ключа КЭП, выводит соответствующий ключ проверки КЭП из действия незамедлительно, но в любом случае в срок не позднее 1 (Одного) рабочего дня после получения сообщения о компрометации.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2.5. В случаях выдачи новых, замены, уничтожен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ия ключей шифрования при несанкционированном использовании в соответствии с п. 2.4. настоящего Соглашения и КЭП Стороны обязаны уведомить друг друга о наличии таких обстоятельств незамедлительно, но в любом случае в срок не позднее 1 (Одного) рабочего дня.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2.6.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обязательств, причинах, вызвавших такое приостановление и предполагаемых сроках их устранения.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2.7. Стороны гарантируют, что все документы, поступившие в порядке обмена в электронном виде, составлены в форматах в соответствии с требованиями действующего законодательства, а также исходя из заключенных договоров.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2.8.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2.9. Стороны признают, чт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о с даты подписания настоящего Соглашения электронные документы, переданные через Систему ЭДО и подписанные КЭП, признаются равнозначными документам на бумажных носителях информации, подписанным собственноручной подписью и заверенных печатью (при наличии).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С даты подписания настоящего Соглашения оформление таких же документов на бумажном но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сителе информации не осуществляется. Стороны не могут ссылаться на приоритет документов, оформленных на бумажном носителе информации, перед электронными документами, подписанными надлежащей КЭП при соблюдении условий, предусмотренных настоящим Соглашением.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2.10. Стороны признают, что полученные электронные документы, подписан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ные КЭП в соответствии с условиями настоящего Соглашения, являются необходимым и достаточным условием, позволяющим установить, что электронный документ исходит от отправившей его Стороны (авторство электронного документа). Риск неправомерного подписания эл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ектронного документа КЭП несет Сторона, отправившая и подписавшая электронный документ. 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3. Условия действительности КЭП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3.1. Стороны гарантируют, что КЭП, которая в электронном документе равнозначна собственноручной подписи на документе на бумажном носителе, используется и считается действительной при одновременном соблюдении следующих условий: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- 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- квалифицированный сертификат дей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- имеется положительный результат проверки принадлежности владельцу квалифицированного сертификата КЭП, с помощью которой подписан электронный документ, и подтверждено отсутствие изменений, внесенных в этот документ после его подписания;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3.2. Стороны обязаны использовать КЭП, выданную аккредитованным удостоверяющим центром, осуществляющим свою деятельность в соответствии с требованиями действующего законодате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льства РФ. Выдача Ключей КЭП выдается Сторонами только тем лицам, которые надлежащим образом уполномочены на совершение действий в рамках осуществления ЭДО. При этом дальнейшие действия Сторон предпринимаются в соответствии с п. 5.3. настоящего Соглашения.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3.3. Стороны обязаны по необходимос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ти заблаговременно обновлять сертификаты электронных ключей, а при неисполнении этого обязательства немедленно сообщить другой Стороне о возникшей ситуации, при этом дальнейшие действия Сторон предпринимаются в соответствии с п. 5.3. настоящего Соглашения.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3.4. Стороны обязаны обеспечивать конфиденциальность Ключей электронных подписей, в том числе не допускать использование принадлежащих им Ключей электронных подписей без их согласия. Сторон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ы допускают работников и / или иных уполномоченных к совершению ЭДО лиц, принявших на себя обязательства по обеспечению неразглашения сведений о паролях, секретном ключе КЭП и иных сведений, обеспечивающих конфиденциальность Ключа КЭП, любым третьим лицам.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Сторона несет ответственность за нарушение конфиденциальности Ключа КЭП ее работниками и / или иными уполномоченными лицам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и. Все документы, направленные после нарушения конфиденциальности ключей КЭП, считаются недействительными,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3.5. Стороны обязаны безотлагательно прекратить ЭДО и не использова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ть Ключ КЭП при наличии оснований полагать, что конфиденциальность соответствующего Ключа КЭП нарушена.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3.6. КЭП используется с учетом ограничений по полномочиям, установленных для подписывающих документы сотрудников Сторон. Стороны несут ответственность за соблюдение полномочий своих сотрудников при подписании электронных документов.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3.7. Стороны подтверждают, что они уведомлены и выражают согласие на то, что одна Сторона для организации электронного документооборота с другой Сто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роной может передавать третьим лицам (УЦ / оператор), необходимую контактную информацию, включая, но не ограничиваясь: номера телефонов, почтовые адреса, адреса электронной почты, Ф.И.О. контактного лица и иные контактные данные, предоставленные Сторонами.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4. Взаимодействие с удостоверяющим центром и оператором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4.1. Стороны не позднее 30 (тридцати)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4.2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. Условия использования средств КЭП, порядок проверки КЭП, правила обращения с ключами и сертификатами квалифицированной ЭП устанавливаются нормативными документами (регламентами) УЦ; по данным вопросам Стороны руководствуются нормативными документами УЦ.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5. Порядок обмена электронными документами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5.1. Стороны осуществляют ЭДО в 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соответствии с Гражданским кодексом Российской Федерации, Федеральным законом от 06.04.2011 г. N 63-ФЗ «Об электронной подписи» (далее – Закон N 63-ФЗ), Федеральным законом от 06.12.2011 г. «О бухгалтерском учёте», приказом Минфина России от 10.11.2015 г. 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N 1174 и регламентом Оператора. С момента подписания настоящего Соглашения Стороны обмениваются Документами, перечисленными в приложении № 1 к настоящему Соглашению, только с использованием ЭДО за исключением случаев, предусмотренных в п. 5.2. Соглашения.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5.2.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(или) в функционировании информационных систем, обслуживающих процессы передачи данных между Стор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онами,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документами, предусмотренных законодательством РФ и условиями настоящего Соглашения.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5.3. Стороны обязаны информировать друг дру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га о невозможности обмена документами в электронном виде, подписанными КЭП, в случае технического сбоя внутренних систем Стороны. Приостановление обмена производится на основании письменного уведомления в произвольной форме Стороной – инициатором другой Ст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ороны не позднее 1 (Одного)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При этом Стороны не должны дублировать направление в электронном виде тех документов, которые были направлены на бумажном носителе, в ином случае они будут аннулированы Принимающей стороной.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5.4. На период Приостановления обмена Стороны производят обмен документами на бумажном носителе с подписание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м их собственноручной подписью уполномоченных лиц и заверением печатью соответствующей Стороны, при этом прикладывается сопроводительное письмо с указанием причины, даты, с которой приостанавливается обмен и срок приостановления обмена в электронном виде.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5.5. При 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осуществлении аннуляции и корректировке Документов через ЭДО Стороны руководствуются Постановлением Правительства РФ от 26.12.2011 г. N 1137 "О формах и правилах заполнения (ведения) документов, применяемых при расчетах по налогу на добавленную стоимость".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5.6. Электронный документ считается доставленным, если в системе ЭДО он имеет любой статус, кроме статуса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 о недоставке / ошибке доставки (в случае технического сбоя в передаче данных по телекоммуникационным каналам и (или) в функционировании информационных систем, обслуживающих процессы передачи данных между Сторонами) или статуса об ошибке в подписи (в случа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е, если КЭП направляющей Стороны не прошла проверку на соответствие требованиям законодательства) – с этого момента Сторона, направившая электронный документ, считается выполнившей свои обязательства по предоставлению электронного документа другой Стороне.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5.7. Электронные документы, котор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ые требуют подписания Получающей Стороной, должны быть подписаны КЭП и направлены другой Стороне в течение срока, установленного для приемки товаров, работ, услуг в договоре, согласно которому сформулированы документы, совершить одно из следующих действий: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5.7.1. Сформировать ответный Документ, подписать его КЭП и отправить Направляющей Стороне через Оператора – в том случае, если Получающая Сторона согласна с содержанием Документа.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5.7.2. При несогласии с содержанием Документа – сформировать Уведомление об уточнении (УОУ), указав причину несогласия, подписать его КЭП и отправить Направляющей Стороне через Оператора.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5.8. Направляющая Сторона, получившая ответный Документ либо УОУ, проверяет действительность сертификата КЭП и сохраняет их в системе ЭДО.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5.9. При необходимости Направляющая сторона не позднее 5 (пяти) рабочих дней вносит исправления в данные и повторяет действия, установленные п. 5.1. настоящего Соглашения.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5.10.  При вы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ставлении и получении счетов-фактур (УПД) Стороны руководствуются Порядком выставления и получения счетов-фактур (УПД) в электронном виде по телекоммуникационным каналам связи с использованием КЭП, закрепленным в приказе Минфина России от 05.02.2021 № 14н.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5.11. При выставлении счетов-фактур (УПД), включая корректировочные, документов по отгрузке товаров, выполнению работ, оказанию услуг, включая документы п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о изменению стоимости в электронной форме, Направляющая сторона указывает в XML-формате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электронные документы. 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6. Порядок выставления, направления и обмена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накладными, актами, счетами-фактурами (УПД) через Оператора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6.1. Все электронные документы, являющиеся предметом настоящего Соглашения, передаются Сторонами через Оператора.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Направляющая Сторона формирует необходимый Документ в электронном виде в системе ПО, подписывает его КЭП, упаковывает в транспортный контейнер и отправляет через Оператора Получающей Стороне.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6.2. Оператор проверяет адрес и ст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руктуру транспортного контейнера и, при отсутствии недостатков, осуществляет его доставку Получающей Стороне. При этом Оператор фиксирует дату и время получения Документа, формирует Подтверждение даты получения (ПДП) и отправляет его Направляющей Стороне.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6.3. Направляющая Сторона при получении ПДП проверяет действительность сертификата КЭП и сохраняет его в системе ЭДО.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6.4. При обнаружении ошибок в полученном контейнере Оператор формирует сообщение об ошибке и отправляет его Направляющей Стороне.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6.5. Получающая Сторона при получении Документа от Оператора проверяет действительность сертификата КЭП и сохраняет Документ в системе ЭДО.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6.6. Одновременно Получающая Сторона не позднее 5 (пяти) рабочих дней формирует Извещение о получении (ИОП), в котором фиксирует факт доставки Документа, пописывает ее КЭП и отправляет Направляющей стороне через Оператора.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6.7. Направляющая сторона, получив ИОП, проверяет действительность сертификата КЭП и сохраняет его в системе ЭДО.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6.8. Получающая С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торона, ознакомившись с Документом, может в течение срока, установленного для приемки товаров, работ, услуг, программ для ЭВМ и иных ценностей, предоставляемых в рамках договора, согласно которому сформирован Документ, совершить одно из следующих действий: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6.8.1. Сформировать ответный Документ, подписать его КЭП и отправить Направляющей Стороне через Оператора – в том случае, если Получающая Сторона согласна с содержанием Документа.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6.8.2. При несогласии с содержанием Документа – сформировать Уведомление об уточнении (УОУ), указав причину несогласия, подписать его КЭП и отправить Направляющей Стороне через Оператора.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6.9. Направляющая Сторона, получившая ответный Документ либо УОУ, проверяет действительность сертификата КЭП и сохраняет их в системе ЭДО.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6.10. При необходимости Направляющая сторона не позднее 5 (пяти) рабочих дней вносит исправления в данные и повторяет действия, установленные п. 6.1. настоящего Соглашения.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6.11.  При выста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влении и получении счетов-фактур (УПД) Стороны руководствуются Порядком выставления и получения счетов-фактур (УПД) в электронном виде по телекоммуникационным каналам связи с использованием КЭП, закрепленным в приказе Минфина России от 05.02.2021 г. N 14н.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6.12. При выставлении счетов-фактур (УПД), включая корректировочные, документов по отгрузке товаров, выполнению работ, оказанию услуг, включая документы п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о изменению стоимости в электронной форме, Направляющая сторона указывает в XML-формате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электронные документы. 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7. Порядок прямого обмена неформализованными документами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7.1. Направляющая Сторона формирует необходимый Документ в электронном виде в системе ПО, подписывает его КЭП направляет файл с документом в электронном виде в адрес Получающей Стороны.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7.2. Получающая Сторона при получении Документа проверяет действительность сертификата КЭП Направляющей стороны и сохраняет Документ в системе ПО.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7.3. Получающая Сторона, ознакомившись с документом, может совершить одно из следующих действий: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7.3.1. Подписать Документ КЭП и отправить Направляющей стороне – в том случае, если Получающая Сторона согласна с содержанием Документа.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7.3.2. При несогласии с содержанием Документа – сформировать Уведомление об уточнении, указав причину несогласия, подписать его КЭП и отправить Направляющей Стороне через Оператора.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7.4. Направляющая Сторона, получившая ответный Документ либо уведомление об уточнении, проверяет действительность сертификата КЭП Получающей стороны и сохраняет их в системе ПО.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7.5. При необходимости Направляющая сторона не позднее 5 (пяти) рабочих дней вносит исправления в данные и повторяет действия, установленные п. 7.1. настоящего Соглашения.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8. Прочие условия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8.1. Стороны признают, что использование средств криптографической 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защиты информации, которые реализуют шифрование и КЭП,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информации, а также для подтверждения того, что: 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- электронный документ исходит от Стороны, его передавшей (подтверждение авторства документа);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- электронный документ не претерпел изменений при информационном взаимодействии Сторон (подтверждение целостности и подлинности документа);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- фактом доставки электронного документа является формирование принимающей Стороной отчета о доставке электронного документа.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8.2. Подписанный с помощью квалифицированной электронной подписи уполномоченным лицом э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лектронный документ влечет для Сторон юридические последствия в виде установления, изменения либо прекращения взаимных прав и обязанностей (в зависимости от вида подписанного электронного правового документа) при одновременном соблюдении следующих условий: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- подтверждена действительность сертификата квалифицированной электронной подписи, с помощью которой подписан данный документ, на дату подписания документа;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- получен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данный документ;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- подтверждено отсутствие изменений, внесенных в этот документ после его подписания;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- документ оформлен надлежащей (согласованной) форме;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- документ направлен и подписан уполномоченными лицами.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8.3. Стороны пришли к соглашению, что в случае возникновения спорной ситуации, касающейся об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мена электронными документами по Договору, электронный документ (а также его текст, распечатанный на бумажном носителе), подтверждение доставки электронного документа Оператора и (или) отчет Оператора о направленных и доставленных электронных документах за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 определенный период времени, являются надлежащими, действительными и достаточными доказательствами существования, содержания документа (сообщения) по Договору и факта его направления / доставки / получения Сторонами Договора, в том числе как относимого, д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опустимого и достоверного доказательства, в том значении, в котором оно понимается положениями процессуального законодательства Российской Федерации, в случае их предъявления любой из Сторон в судебные органы как документального письменного доказательства.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8.4. Для целей сверки, Стороны используют данные Системы ЭДО и / или отчеты Оператора.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8.5. По письменному требованию Стороны обязуются предоставить друг другу документы, подтверждающие права уполномоченных лиц подписывать электронные документы, согласованные Сторонами в настоящем Соглашении.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8.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6. Стороны за свой счет приобретают, устанавливают и обеспечивают работоспособность средств и каналов связи, программного обеспечения, а также средств криптографической защиты информации, необходимых для подключения к Системе электронного документооборота.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8.9. Покупатель имеет право в одностороннем порядке расторгнуть Соглашение при нарушении обязательств Постащиком.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9. Ответственность сторон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9.1. Стороны обязуются использовать, принимать и признавать квалифициро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ванные сертификаты ключей проверки подписей, выпущенные в соответствии с действующим законодательством удостоверяющими центрами, имеющими аккредитацию Министерства связи и массовых коммуникаций РФ, что подтверждается соответствующим свидетельством. Квалифи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цированный сертификат ключа проверки подписи должен быть действительным (не прекращен, не аннулирован) на момент подписания электронного документа и содержать сведения, необходимые для однозначной идентификации владельца сертификата ключа проверки подписи.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9.2. Ответственность за наличие действующего сертификата ключа проверки подписи, за обеспечение конфиденциальности ключей электронных подписей Стороны несут самостоятельно.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9.3. Если в результате ненадлежащего исполнения ЭДО возникает ущерб для третьих лиц, ответственность несет Сторона, от имени которой электронный документ подписан КЭП.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9.4. Стороны освобождаются от ответственности за частичное или полное неисполнение своих обязательств по Соглашению, если таковое явилось следствием обст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оятельств непреодолимой силы, возникших после вступления в силу Соглашения, в результате событий чрезвычайного характера, которые не могли быть предвидены и предотвращены разумными мерами. Сторона обязана незамедлительно известить другую сторону о возникно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вении и прекращении действия обстоятельств непреодолимой силы, препятствующих исполнению ей обязательств по Соглашению, при этом срок выполнения обязательств по Соглашению переносится соразмерно времени, в течение которого действовали такие обстоятельства.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9.5. Поставщик не имеет права передавать свои права и обязанности по Соглашению третьим лицам, без письменного согласия Покупателя.</w:t>
        <w:tab/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10. Разрешение споров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10.1. Квалифицированная ЭП, которой подписан документ, признается действительной в течение срока ее действия, если решением суда не установлено иное.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10.2. При возникновении разногласий относительно подписания с помощью КЭП определенны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х электронных документов Стороны соглашаются предоставить комиссии, созданной в соответствии с регламентом УЦ, возможность ознакомления с условиями и порядком работы своих программных и технических средств, используемых для обмена электронными документами.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10.3. Все споры, связанные с заключением, толкованием, исполнением и расторжением Соглашения, будут разрешаться Сторонами путем направления претензии в письменной форме, подписанной уполномоченным лицом.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Претензия влечет гражданско-правовые последствия для адресата с момента доставки ему или его представителю.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Претензия считается доставленной, если она:</w:t>
        <w:tab/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- поступила адресату, но по зависящим от него обстоятельствам не была вручена или адресат не ознакомился с ней;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- доставлена по адресу, указанному в ЕГРЮЛ или названному самим адресатом, даже если последний не находится по данному адресу.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К претензии должны быть приложены документы, об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20 (двадцать) рабочих дней со дня получения претензии.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В случае неурегулирования разногласий в претензионном порядке, а также в случае неполучения ответа на претензию в течение срока, указанного в настоящем пункте договора, спор передается на рассмотрение суда.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10.4. Все неурегулированные путем переговоров споры, связанные с заключением, толкованием, исполнением, изменением и расторжением настоящего Соглашения передаются в суд Республики Саха (Якутия).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  <w:highlight w:val="none"/>
        </w:rPr>
      </w:pPr>
      <w:r>
        <w:rPr>
          <w:b/>
          <w:bCs/>
          <w:color w:val="auto"/>
          <w:sz w:val="24"/>
          <w:szCs w:val="24"/>
          <w:highlight w:val="none"/>
        </w:rPr>
        <w:t xml:space="preserve">11. Список приложений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  <w:highlight w:val="none"/>
        </w:rP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Приложение №1 является неотъемлемой частью Соглашения.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tbl>
      <w:tblPr>
        <w:tblW w:w="9637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42"/>
        <w:gridCol w:w="4994"/>
      </w:tblGrid>
      <w:tr>
        <w:trPr/>
        <w:tc>
          <w:tcPr>
            <w:shd w:val="clear" w:color="auto" w:fill="auto"/>
            <w:tcBorders/>
            <w:tcW w:w="4642" w:type="dxa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Заказчик: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/>
            <w:tcW w:w="4994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Подрядчик: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/>
        <w:tc>
          <w:tcPr>
            <w:shd w:val="clear" w:color="auto" w:fill="auto"/>
            <w:tcBorders/>
            <w:tcW w:w="4642" w:type="dxa"/>
            <w:vMerge w:val="continue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W w:w="4994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pStyle w:val="925"/>
        <w:pBdr/>
        <w:spacing/>
        <w:ind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pBdr/>
        <w:spacing/>
        <w:ind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highlight w:val="none"/>
        </w:rPr>
        <w:br w:type="page" w:clear="all"/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25"/>
        <w:widowControl w:val="false"/>
        <w:pBdr/>
        <w:spacing w:line="240" w:lineRule="auto"/>
        <w:ind w:firstLine="0"/>
        <w:jc w:val="right"/>
        <w:rPr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Приложение №1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false"/>
        <w:pBdr/>
        <w:spacing w:line="240" w:lineRule="auto"/>
        <w:ind/>
        <w:jc w:val="right"/>
        <w:rPr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к Соглашению об использовании электронного документооборота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false"/>
        <w:pBdr/>
        <w:spacing/>
        <w:ind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false"/>
        <w:pBdr/>
        <w:spacing w:line="240" w:lineRule="auto"/>
        <w:ind/>
        <w:jc w:val="center"/>
        <w:rPr>
          <w:sz w:val="24"/>
          <w:szCs w:val="24"/>
          <w:highlight w:val="none"/>
        </w:rPr>
      </w:pPr>
      <w:r>
        <w:rPr>
          <w:b/>
          <w:color w:val="auto"/>
          <w:sz w:val="24"/>
          <w:szCs w:val="24"/>
          <w:highlight w:val="none"/>
        </w:rPr>
        <w:t xml:space="preserve">ПЕРЕЧЕНЬ ДОКУМЕНТОВ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false"/>
        <w:pBdr/>
        <w:spacing w:line="240" w:lineRule="auto"/>
        <w:ind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false"/>
        <w:pBdr/>
        <w:spacing w:line="240" w:lineRule="auto"/>
        <w:ind/>
        <w:jc w:val="both"/>
        <w:rPr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Сферу действия Соглаш</w:t>
      </w:r>
      <w:r>
        <w:rPr>
          <w:color w:val="auto"/>
          <w:sz w:val="24"/>
          <w:szCs w:val="24"/>
          <w:highlight w:val="none"/>
        </w:rPr>
        <w:t xml:space="preserve">ения об организации электронного взаимодействия составляет набор описанных ниже документов, которыми Стороны обмениваются в рамках обязательств, возникших по всем заключенным между Сторонами договорам и по всем договорам, которые будут заключены в будущем.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25"/>
        <w:widowControl w:val="false"/>
        <w:pBdr/>
        <w:spacing w:line="240" w:lineRule="auto"/>
        <w:ind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false"/>
        <w:pBdr/>
        <w:spacing w:line="240" w:lineRule="auto"/>
        <w:ind/>
        <w:jc w:val="both"/>
        <w:rPr>
          <w:sz w:val="24"/>
          <w:szCs w:val="24"/>
          <w:highlight w:val="none"/>
        </w:rPr>
      </w:pPr>
      <w:r>
        <w:rPr>
          <w:rStyle w:val="960"/>
          <w:highlight w:val="none"/>
        </w:rPr>
        <w:footnoteReference w:id="5"/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8931" w:type="dxa"/>
        <w:tblInd w:w="109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394"/>
        <w:gridCol w:w="4536"/>
      </w:tblGrid>
      <w:tr>
        <w:trPr>
          <w:trHeight w:val="6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 xml:space="preserve">Наименование документа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 xml:space="preserve">Формат документа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Договор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Дополнительное соглашение к договору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Соглашение о расторжении договора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Соглашение о замене стороны в договоре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Соглашение о зачете встречных однородных требований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Соглашение о переводе долга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Соглашение о конфиденциальности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Соглашение о направлении документов через электронный документооборот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Письмо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Гарантийное письмо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Заявка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Акт сверки взаиморасчетов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Претензия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Доверенность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Уведомление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Приглашение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Акт сдачи-приемки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 / 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Акт приема-передачи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 / 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Акт выполненных работ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 / 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Акт оказания услуг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 / 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Накладная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Счет-фактура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Универсальный передаточный документ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Счет на оплату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Коммерческое предложение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pStyle w:val="925"/>
        <w:widowControl w:val="false"/>
        <w:pBdr/>
        <w:spacing w:line="240" w:lineRule="auto"/>
        <w:ind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false"/>
        <w:pBdr/>
        <w:spacing w:line="240" w:lineRule="auto"/>
        <w:ind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/>
          <w:color w:val="auto"/>
          <w:sz w:val="24"/>
          <w:szCs w:val="24"/>
          <w:highlight w:val="none"/>
        </w:rPr>
      </w:r>
    </w:p>
    <w:p>
      <w:pPr>
        <w:pStyle w:val="925"/>
        <w:widowControl w:val="false"/>
        <w:pBdr/>
        <w:spacing w:line="240" w:lineRule="auto"/>
        <w:ind w:firstLine="0"/>
        <w:jc w:val="both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tbl>
      <w:tblPr>
        <w:tblW w:w="9637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42"/>
        <w:gridCol w:w="4994"/>
      </w:tblGrid>
      <w:tr>
        <w:trPr/>
        <w:tc>
          <w:tcPr>
            <w:shd w:val="clear" w:color="auto" w:fill="auto"/>
            <w:tcBorders/>
            <w:tcW w:w="4642" w:type="dxa"/>
            <w:vMerge w:val="restart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Заказчик: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25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/>
            <w:tcW w:w="4994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Подрядчик: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/>
        <w:tc>
          <w:tcPr>
            <w:shd w:val="clear" w:color="auto" w:fill="auto"/>
            <w:tcBorders/>
            <w:tcW w:w="4642" w:type="dxa"/>
            <w:vMerge w:val="continue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W w:w="4994" w:type="dxa"/>
            <w:textDirection w:val="lrTb"/>
            <w:noWrap w:val="false"/>
          </w:tcPr>
          <w:p>
            <w:pPr>
              <w:pStyle w:val="925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pStyle w:val="925"/>
        <w:pBdr/>
        <w:spacing w:line="240" w:lineRule="auto"/>
        <w:ind w:firstLine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sectPr>
      <w:headerReference w:type="default" r:id="rId13"/>
      <w:headerReference w:type="first" r:id="rId14"/>
      <w:footerReference w:type="default" r:id="rId18"/>
      <w:footerReference w:type="first" r:id="rId19"/>
      <w:footnotePr>
        <w:numFmt w:val="decimal"/>
      </w:footnotePr>
      <w:endnotePr/>
      <w:type w:val="nextPage"/>
      <w:pgSz w:h="16838" w:orient="portrait" w:w="11906"/>
      <w:pgMar w:top="1134" w:right="851" w:bottom="1134" w:left="1418" w:header="709" w:footer="709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;serif">
    <w:panose1 w:val="02020603050405020304"/>
  </w:font>
  <w:font w:name="Geneva CY">
    <w:panose1 w:val="05040102010807070707"/>
  </w:font>
  <w:font w:name="Verdana">
    <w:panose1 w:val="020B0604030504040204"/>
  </w:font>
  <w:font w:name="Liberation Sans">
    <w:panose1 w:val="020B0604020202020204"/>
  </w:font>
  <w:font w:name="Wingdings">
    <w:panose1 w:val="05010000000000000000"/>
  </w:font>
  <w:font w:name="Symbol">
    <w:panose1 w:val="05010000000000000000"/>
  </w:font>
  <w:font w:name="Calibri">
    <w:panose1 w:val="020F0502020204030204"/>
  </w:font>
  <w:font w:name="Arial">
    <w:panose1 w:val="020B0604020202020204"/>
  </w:font>
  <w:font w:name="Geneva">
    <w:panose1 w:val="05040102010807070707"/>
  </w:font>
  <w:font w:name="Cambria">
    <w:panose1 w:val="02040803050406030204"/>
  </w:font>
  <w:font w:name="Tahoma">
    <w:panose1 w:val="020B0604030504040204"/>
  </w:font>
  <w:font w:name="Mangal">
    <w:panose1 w:val="02040503050406030204"/>
  </w:font>
  <w:font w:name="OpenSymbol">
    <w:panose1 w:val="05010000000000000000"/>
  </w:font>
  <w:font w:name="Courier New">
    <w:panose1 w:val="02070309020205020404"/>
  </w:font>
  <w:font w:name="Lohit Devanagari">
    <w:panose1 w:val="020B0600000000000000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  <w:pBdr/>
      <w:spacing/>
      <w:ind/>
      <w:jc w:val="center"/>
      <w:rPr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12</w:t>
    </w:r>
    <w:r>
      <w:rPr>
        <w:sz w:val="20"/>
        <w:szCs w:val="20"/>
      </w:rP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  <w:pBdr/>
      <w:spacing/>
      <w:ind/>
      <w:jc w:val="right"/>
      <w:rPr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26</w:t>
    </w:r>
    <w:r>
      <w:rPr>
        <w:sz w:val="24"/>
        <w:szCs w:val="24"/>
      </w:rPr>
      <w:fldChar w:fldCharType="end"/>
    </w:r>
    <w:r/>
  </w:p>
  <w:p>
    <w:pPr>
      <w:pStyle w:val="1033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  <w:pBdr/>
      <w:spacing/>
      <w:ind/>
      <w:jc w:val="center"/>
      <w:rPr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37</w:t>
    </w:r>
    <w:r>
      <w:rPr>
        <w:sz w:val="20"/>
        <w:szCs w:val="20"/>
      </w:rPr>
      <w:fldChar w:fldCharType="end"/>
    </w:r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>
          <w:sz w:val="12"/>
        </w:rPr>
      </w:pPr>
      <w:r>
        <w:separator/>
      </w:r>
      <w:r>
        <w:rPr>
          <w:sz w:val="12"/>
        </w:rPr>
      </w:r>
      <w:r>
        <w:rPr>
          <w:sz w:val="12"/>
        </w:rPr>
      </w:r>
    </w:p>
  </w:footnote>
  <w:footnote w:type="continuationSeparator" w:id="0">
    <w:p>
      <w:pPr>
        <w:pBdr/>
        <w:spacing/>
        <w:ind/>
        <w:rPr>
          <w:sz w:val="12"/>
        </w:rPr>
      </w:pPr>
      <w:r>
        <w:continuationSeparator/>
      </w:r>
      <w:r>
        <w:rPr>
          <w:sz w:val="12"/>
        </w:rPr>
      </w:r>
      <w:r>
        <w:rPr>
          <w:sz w:val="12"/>
        </w:rPr>
      </w:r>
    </w:p>
  </w:footnote>
  <w:footnote w:id="2">
    <w:p>
      <w:pPr>
        <w:pStyle w:val="1017"/>
        <w:pBdr/>
        <w:spacing/>
        <w:ind/>
        <w:jc w:val="both"/>
        <w:rPr/>
      </w:pPr>
      <w:r>
        <w:rPr>
          <w:rStyle w:val="959"/>
        </w:rPr>
        <w:footnoteRef/>
      </w:r>
      <w:r>
        <w:t xml:space="preserve"> </w:t>
      </w:r>
      <w:r>
        <w:t xml:space="preserve">В случае, если членство в СРО требуется в соответствии с законодательством Российской Федерации</w:t>
      </w:r>
      <w:r/>
    </w:p>
  </w:footnote>
  <w:footnote w:id="3">
    <w:p>
      <w:pPr>
        <w:pStyle w:val="1017"/>
        <w:pBdr/>
        <w:spacing/>
        <w:ind/>
        <w:jc w:val="both"/>
        <w:rPr/>
      </w:pPr>
      <w:r>
        <w:rPr>
          <w:rStyle w:val="959"/>
        </w:rPr>
        <w:footnoteRef/>
      </w:r>
      <w:r>
        <w:t xml:space="preserve"> </w:t>
      </w:r>
      <w:r>
        <w:t xml:space="preserve">С учетом комментариев к пункту 2.3.9 Договора.</w:t>
      </w:r>
      <w:r/>
    </w:p>
  </w:footnote>
  <w:footnote w:id="4">
    <w:p>
      <w:pPr>
        <w:pStyle w:val="1017"/>
        <w:pBdr/>
        <w:spacing/>
        <w:ind/>
        <w:jc w:val="both"/>
        <w:rPr/>
      </w:pPr>
      <w:r>
        <w:rPr>
          <w:rStyle w:val="959"/>
        </w:rPr>
        <w:footnoteRef/>
      </w:r>
      <w:r>
        <w:t xml:space="preserve"> </w:t>
      </w:r>
      <w:r>
        <w:t xml:space="preserve">Письменное согласование Общества ос</w:t>
      </w:r>
      <w:r>
        <w:t xml:space="preserve">уществляется в том же порядке, что и согласование соответствующего Договора в соответствии с Положением о порядке согласования, заключения, исполнения Договоров, заключаемых от имени Общества, утвержденном локальным нормативным документов (актом) Общества.</w:t>
      </w:r>
      <w:r/>
    </w:p>
  </w:footnote>
  <w:footnote w:id="5">
    <w:p>
      <w:pPr>
        <w:pStyle w:val="1017"/>
        <w:pBdr/>
        <w:spacing/>
        <w:ind/>
        <w:rPr/>
      </w:pPr>
      <w:r>
        <w:rPr>
          <w:rStyle w:val="959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Данный перечень является примерным и может редактироваться ОИ в зависимости от характеристики договора.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  <w:pBdr/>
      <w:spacing w:line="288" w:lineRule="auto"/>
      <w:ind/>
      <w:jc w:val="right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</w:r>
    <w:r>
      <w:rPr>
        <w:sz w:val="20"/>
        <w:szCs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3"/>
      <w:pBdr/>
      <w:spacing/>
      <w:ind w:firstLine="0"/>
      <w:jc w:val="right"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3"/>
      <w:pBdr/>
      <w:spacing/>
      <w:ind/>
      <w:rPr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  <w:pBdr/>
      <w:spacing w:line="288" w:lineRule="auto"/>
      <w:ind/>
      <w:jc w:val="right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</w:r>
    <w:r>
      <w:rPr>
        <w:sz w:val="20"/>
        <w:szCs w:val="20"/>
      </w:rPr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Статья %1."/>
      <w:numFmt w:val="decimal"/>
      <w:pPr>
        <w:pBdr/>
        <w:tabs>
          <w:tab w:val="num" w:leader="none" w:pos="720"/>
        </w:tabs>
        <w:spacing/>
        <w:ind w:hanging="360" w:left="720"/>
      </w:pPr>
      <w:pStyle w:val="1025"/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725"/>
        </w:tabs>
        <w:spacing/>
        <w:ind w:hanging="1185" w:left="1725"/>
      </w:pPr>
      <w:pStyle w:val="1026"/>
      <w:rPr>
        <w:b w:val="0"/>
        <w:sz w:val="24"/>
        <w:szCs w:val="24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085"/>
        </w:tabs>
        <w:spacing/>
        <w:ind w:hanging="1185" w:left="2085"/>
      </w:pPr>
      <w:pStyle w:val="1027"/>
      <w:rPr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625"/>
        </w:tabs>
        <w:spacing/>
        <w:ind w:hanging="1185" w:left="262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985"/>
        </w:tabs>
        <w:spacing/>
        <w:ind w:hanging="1185" w:left="298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345"/>
        </w:tabs>
        <w:spacing/>
        <w:ind w:hanging="1185" w:left="3345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432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040"/>
        </w:tabs>
        <w:spacing/>
        <w:ind w:hanging="1800" w:left="5040"/>
      </w:pPr>
      <w:rPr/>
      <w:start w:val="1"/>
      <w:suff w:val="tab"/>
    </w:lvl>
  </w:abstractNum>
  <w:abstractNum w:abstractNumId="1">
    <w:lvl w:ilvl="0">
      <w:isLgl w:val="false"/>
      <w:lvlJc w:val="left"/>
      <w:lvlText w:val=""/>
      <w:numFmt w:val="bullet"/>
      <w:pPr>
        <w:pBdr/>
        <w:tabs>
          <w:tab w:val="num" w:leader="none" w:pos="360"/>
        </w:tabs>
        <w:spacing/>
        <w:ind w:hanging="360" w:left="360"/>
      </w:pPr>
      <w:pStyle w:val="1030"/>
      <w:rPr>
        <w:rFonts w:hint="default" w:ascii="Symbol" w:hAnsi="Symbol" w:cs="Symbol"/>
        <w:color w:val="auto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2204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1142"/>
      </w:pPr>
      <w:rPr>
        <w:b w:val="0"/>
        <w:sz w:val="24"/>
        <w:szCs w:val="24"/>
        <w:u w:val="none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3907"/>
      </w:pPr>
      <w:rPr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2917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3240"/>
        </w:tabs>
        <w:spacing/>
        <w:ind w:firstLine="0" w:left="3240"/>
      </w:pPr>
      <w:pStyle w:val="1040"/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51"/>
        </w:tabs>
        <w:spacing/>
        <w:ind w:hanging="851" w:left="851"/>
      </w:pPr>
      <w:pStyle w:val="1041"/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851"/>
        </w:tabs>
        <w:spacing/>
        <w:ind w:hanging="851" w:left="851"/>
      </w:pPr>
      <w:pStyle w:val="1042"/>
      <w:rPr/>
      <w:start w:val="1"/>
      <w:suff w:val="tab"/>
    </w:lvl>
    <w:lvl w:ilvl="3">
      <w:isLgl w:val="false"/>
      <w:lvlJc w:val="left"/>
      <w:lvlText w:val="%4)"/>
      <w:numFmt w:val="lowerLetter"/>
      <w:pPr>
        <w:pBdr/>
        <w:tabs>
          <w:tab w:val="num" w:leader="none" w:pos="1418"/>
        </w:tabs>
        <w:spacing/>
        <w:ind w:hanging="567" w:left="1418"/>
      </w:pPr>
      <w:pStyle w:val="1043"/>
      <w:rPr/>
      <w:start w:val="1"/>
      <w:suff w:val="tab"/>
    </w:lvl>
    <w:lvl w:ilvl="4">
      <w:isLgl w:val="false"/>
      <w:lvlJc w:val="left"/>
      <w:lvlText w:val="%1.%2.%3.%4.%5"/>
      <w:numFmt w:val="decimal"/>
      <w:pPr>
        <w:pBdr/>
        <w:tabs>
          <w:tab w:val="num" w:leader="none" w:pos="1008"/>
        </w:tabs>
        <w:spacing/>
        <w:ind w:hanging="1008" w:left="1008"/>
      </w:pPr>
      <w:rPr/>
      <w:start w:val="1"/>
      <w:suff w:val="tab"/>
    </w:lvl>
    <w:lvl w:ilvl="5">
      <w:isLgl w:val="false"/>
      <w:lvlJc w:val="left"/>
      <w:lvlText w:val="%1.%2.%3.%4.%5.%6"/>
      <w:numFmt w:val="decimal"/>
      <w:pPr>
        <w:pBdr/>
        <w:tabs>
          <w:tab w:val="num" w:leader="none" w:pos="1152"/>
        </w:tabs>
        <w:spacing/>
        <w:ind w:hanging="1152" w:left="1152"/>
      </w:pPr>
      <w:rPr/>
      <w:start w:val="1"/>
      <w:suff w:val="tab"/>
    </w:lvl>
    <w:lvl w:ilvl="6">
      <w:isLgl w:val="false"/>
      <w:lvlJc w:val="left"/>
      <w:lvlText w:val="%1.%2.%3.%4.%5.%6.%7"/>
      <w:numFmt w:val="decimal"/>
      <w:pPr>
        <w:pBdr/>
        <w:tabs>
          <w:tab w:val="num" w:leader="none" w:pos="1296"/>
        </w:tabs>
        <w:spacing/>
        <w:ind w:hanging="1296" w:left="1296"/>
      </w:pPr>
      <w:rPr/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tabs>
          <w:tab w:val="num" w:leader="none" w:pos="1584"/>
        </w:tabs>
        <w:spacing/>
        <w:ind w:hanging="1584" w:left="1584"/>
      </w:pPr>
      <w:rPr/>
      <w:start w:val="1"/>
      <w:suff w:val="tab"/>
    </w:lvl>
  </w:abstractNum>
  <w:abstractNum w:abstractNumId="4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287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00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727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447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16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887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607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32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047"/>
      </w:pPr>
      <w:rPr>
        <w:rFonts w:hint="default" w:ascii="Wingdings" w:hAnsi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80"/>
      </w:pPr>
      <w:rPr/>
      <w:start w:val="1"/>
      <w:suff w:val="tab"/>
    </w:lvl>
  </w:abstractNum>
  <w:abstractNum w:abstractNumId="6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8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8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8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8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8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8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8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8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8"/>
      </w:pPr>
      <w:rPr>
        <w:rFonts w:hint="default" w:ascii="Wingdings" w:hAnsi="Wingdings" w:cs="Wingdings"/>
      </w:rPr>
      <w:start w:val="1"/>
      <w:suff w:val="tab"/>
    </w:lvl>
  </w:abstractNum>
  <w:abstractNum w:abstractNumId="7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8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9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0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2204"/>
      </w:pPr>
      <w:rPr>
        <w:b/>
      </w:rPr>
      <w:start w:val="1"/>
      <w:suff w:val="tab"/>
    </w:lvl>
    <w:lvl w:ilvl="1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432" w:left="1283"/>
      </w:pPr>
      <w:rPr>
        <w:rFonts w:hint="default" w:ascii="Symbol" w:hAnsi="Symbol" w:cs="Symbol"/>
        <w:b w:val="0"/>
        <w:u w:val="none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1355"/>
      </w:pPr>
      <w:rPr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2917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12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3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4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5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6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2924"/>
      </w:pPr>
      <w:pStyle w:val="1050"/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4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64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84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80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524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7244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796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8684"/>
      </w:pPr>
      <w:rPr>
        <w:rFonts w:hint="default" w:ascii="Wingdings" w:hAnsi="Wingdings" w:cs="Wingdings"/>
      </w:rPr>
      <w:start w:val="1"/>
      <w:suff w:val="tab"/>
    </w:lvl>
  </w:abstractNum>
  <w:abstractNum w:abstractNumId="17">
    <w:lvl w:ilvl="0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25" w:default="1">
    <w:name w:val="Normal"/>
    <w:qFormat/>
    <w:pPr>
      <w:widowControl w:val="true"/>
      <w:pBdr/>
      <w:bidi w:val="false"/>
      <w:spacing w:after="0" w:before="0" w:line="360" w:lineRule="auto"/>
      <w:ind w:firstLine="567"/>
      <w:jc w:val="both"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926">
    <w:name w:val="Heading 1"/>
    <w:basedOn w:val="925"/>
    <w:next w:val="925"/>
    <w:link w:val="972"/>
    <w:qFormat/>
    <w:pPr>
      <w:keepNext w:val="true"/>
      <w:pBdr/>
      <w:spacing w:after="60" w:before="240"/>
      <w:ind/>
      <w:outlineLvl w:val="0"/>
    </w:pPr>
    <w:rPr>
      <w:rFonts w:ascii="Cambria" w:hAnsi="Cambria"/>
      <w:b/>
      <w:bCs/>
      <w:sz w:val="32"/>
      <w:szCs w:val="32"/>
    </w:rPr>
  </w:style>
  <w:style w:type="paragraph" w:styleId="927">
    <w:name w:val="Heading 2"/>
    <w:basedOn w:val="925"/>
    <w:next w:val="925"/>
    <w:link w:val="973"/>
    <w:qFormat/>
    <w:pPr>
      <w:keepNext w:val="true"/>
      <w:pBdr/>
      <w:spacing w:after="60" w:before="240"/>
      <w:ind/>
      <w:outlineLvl w:val="1"/>
    </w:pPr>
    <w:rPr>
      <w:rFonts w:ascii="Cambria" w:hAnsi="Cambria"/>
      <w:b/>
      <w:bCs/>
      <w:i/>
      <w:iCs/>
    </w:rPr>
  </w:style>
  <w:style w:type="paragraph" w:styleId="928">
    <w:name w:val="Heading 3"/>
    <w:basedOn w:val="925"/>
    <w:next w:val="925"/>
    <w:link w:val="961"/>
    <w:uiPriority w:val="9"/>
    <w:qFormat/>
    <w:pPr>
      <w:keepNext w:val="true"/>
      <w:pBdr/>
      <w:spacing w:after="120" w:before="120" w:line="240" w:lineRule="auto"/>
      <w:ind w:firstLine="0"/>
      <w:jc w:val="left"/>
      <w:outlineLvl w:val="2"/>
    </w:pPr>
    <w:rPr>
      <w:b/>
      <w:szCs w:val="20"/>
    </w:rPr>
  </w:style>
  <w:style w:type="paragraph" w:styleId="929">
    <w:name w:val="Heading 4"/>
    <w:basedOn w:val="925"/>
    <w:next w:val="925"/>
    <w:link w:val="93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930">
    <w:name w:val="Heading 5"/>
    <w:basedOn w:val="925"/>
    <w:next w:val="925"/>
    <w:qFormat/>
    <w:pPr>
      <w:keepNext w:val="true"/>
      <w:keepLines w:val="true"/>
      <w:numPr>
        <w:ilvl w:val="0"/>
        <w:numId w:val="0"/>
      </w:numPr>
      <w:pBdr/>
      <w:spacing w:after="0" w:before="40"/>
      <w:ind w:firstLine="567"/>
      <w:outlineLvl w:val="4"/>
    </w:pPr>
    <w:rPr>
      <w:rFonts w:ascii="Cambria" w:hAnsi="Cambria" w:eastAsia="Times New Roman" w:cs="Times New Roman"/>
      <w:color w:val="365f91"/>
    </w:rPr>
  </w:style>
  <w:style w:type="paragraph" w:styleId="931">
    <w:name w:val="Heading 6"/>
    <w:basedOn w:val="925"/>
    <w:next w:val="925"/>
    <w:link w:val="94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932">
    <w:name w:val="Heading 7"/>
    <w:basedOn w:val="925"/>
    <w:next w:val="925"/>
    <w:link w:val="94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933">
    <w:name w:val="Heading 8"/>
    <w:basedOn w:val="925"/>
    <w:next w:val="925"/>
    <w:link w:val="942"/>
    <w:uiPriority w:val="9"/>
    <w:unhideWhenUsed/>
    <w:qFormat/>
    <w:pPr>
      <w:keepNext w:val="true"/>
      <w:keepLines w:val="true"/>
      <w:pBdr/>
      <w:spacing w:after="0" w:before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934">
    <w:name w:val="Heading 9"/>
    <w:basedOn w:val="925"/>
    <w:next w:val="925"/>
    <w:link w:val="943"/>
    <w:uiPriority w:val="9"/>
    <w:unhideWhenUsed/>
    <w:qFormat/>
    <w:pPr>
      <w:keepNext w:val="true"/>
      <w:keepLines w:val="true"/>
      <w:pBdr/>
      <w:spacing w:after="0" w:before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35">
    <w:name w:val="Heading 1 Char"/>
    <w:basedOn w:val="958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36">
    <w:name w:val="Heading 2 Char"/>
    <w:basedOn w:val="958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37">
    <w:name w:val="Heading 3 Char"/>
    <w:basedOn w:val="958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38">
    <w:name w:val="Heading 4 Char"/>
    <w:basedOn w:val="958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39">
    <w:name w:val="Heading 5 Char"/>
    <w:basedOn w:val="958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40">
    <w:name w:val="Heading 6 Char"/>
    <w:basedOn w:val="958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41">
    <w:name w:val="Heading 7 Char"/>
    <w:basedOn w:val="958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42">
    <w:name w:val="Heading 8 Char"/>
    <w:basedOn w:val="958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43">
    <w:name w:val="Heading 9 Char"/>
    <w:basedOn w:val="958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44">
    <w:name w:val="Title Char"/>
    <w:basedOn w:val="958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945">
    <w:name w:val="Subtitle Char"/>
    <w:basedOn w:val="958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46">
    <w:name w:val="Quote Char"/>
    <w:basedOn w:val="958"/>
    <w:link w:val="1005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947">
    <w:name w:val="Intense Emphasis"/>
    <w:basedOn w:val="95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948">
    <w:name w:val="Intense Quote Char"/>
    <w:basedOn w:val="958"/>
    <w:link w:val="1006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949">
    <w:name w:val="Intense Reference"/>
    <w:basedOn w:val="95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950">
    <w:name w:val="Subtle Emphasis"/>
    <w:basedOn w:val="95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51">
    <w:name w:val="Emphasis"/>
    <w:basedOn w:val="958"/>
    <w:uiPriority w:val="20"/>
    <w:qFormat/>
    <w:pPr>
      <w:pBdr/>
      <w:spacing/>
      <w:ind/>
    </w:pPr>
    <w:rPr>
      <w:i/>
      <w:iCs/>
    </w:rPr>
  </w:style>
  <w:style w:type="character" w:styleId="952">
    <w:name w:val="Subtle Reference"/>
    <w:basedOn w:val="95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53">
    <w:name w:val="Book Title"/>
    <w:basedOn w:val="95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54">
    <w:name w:val="Header Char"/>
    <w:basedOn w:val="958"/>
    <w:uiPriority w:val="99"/>
    <w:qFormat/>
    <w:pPr>
      <w:pBdr/>
      <w:spacing/>
      <w:ind/>
    </w:pPr>
  </w:style>
  <w:style w:type="character" w:styleId="955">
    <w:name w:val="Footer Char"/>
    <w:basedOn w:val="958"/>
    <w:uiPriority w:val="99"/>
    <w:qFormat/>
    <w:pPr>
      <w:pBdr/>
      <w:spacing/>
      <w:ind/>
    </w:pPr>
  </w:style>
  <w:style w:type="character" w:styleId="956">
    <w:name w:val="Footnote Text Char"/>
    <w:basedOn w:val="958"/>
    <w:uiPriority w:val="99"/>
    <w:semiHidden/>
    <w:qFormat/>
    <w:pPr>
      <w:pBdr/>
      <w:spacing/>
      <w:ind/>
    </w:pPr>
    <w:rPr>
      <w:sz w:val="20"/>
      <w:szCs w:val="20"/>
    </w:rPr>
  </w:style>
  <w:style w:type="character" w:styleId="957">
    <w:name w:val="Endnote Text Char"/>
    <w:basedOn w:val="958"/>
    <w:uiPriority w:val="99"/>
    <w:semiHidden/>
    <w:qFormat/>
    <w:pPr>
      <w:pBdr/>
      <w:spacing/>
      <w:ind/>
    </w:pPr>
    <w:rPr>
      <w:sz w:val="20"/>
      <w:szCs w:val="20"/>
    </w:rPr>
  </w:style>
  <w:style w:type="character" w:styleId="958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959">
    <w:name w:val="Символ сноски"/>
    <w:qFormat/>
    <w:pPr>
      <w:pBdr/>
      <w:spacing/>
      <w:ind/>
    </w:pPr>
    <w:rPr>
      <w:vertAlign w:val="superscript"/>
    </w:rPr>
  </w:style>
  <w:style w:type="character" w:styleId="960">
    <w:name w:val="footnote reference"/>
    <w:pPr>
      <w:pBdr/>
      <w:spacing/>
      <w:ind/>
    </w:pPr>
    <w:rPr>
      <w:vertAlign w:val="superscript"/>
    </w:rPr>
  </w:style>
  <w:style w:type="character" w:styleId="961" w:customStyle="1">
    <w:name w:val="Заголовок 3 Знак"/>
    <w:qFormat/>
    <w:pPr>
      <w:pBdr/>
      <w:spacing/>
      <w:ind/>
    </w:pPr>
    <w:rPr>
      <w:b/>
      <w:sz w:val="28"/>
    </w:rPr>
  </w:style>
  <w:style w:type="character" w:styleId="962" w:customStyle="1">
    <w:name w:val="3. Подпункт Знак"/>
    <w:link w:val="1027"/>
    <w:qFormat/>
    <w:pPr>
      <w:pBdr/>
      <w:spacing/>
      <w:ind/>
    </w:pPr>
    <w:rPr>
      <w:b/>
      <w:bCs/>
      <w:sz w:val="24"/>
      <w:szCs w:val="24"/>
    </w:rPr>
  </w:style>
  <w:style w:type="character" w:styleId="963" w:customStyle="1">
    <w:name w:val="Текст выноски Знак"/>
    <w:link w:val="1029"/>
    <w:qFormat/>
    <w:pPr>
      <w:pBdr/>
      <w:spacing/>
      <w:ind/>
    </w:pPr>
    <w:rPr>
      <w:rFonts w:ascii="Tahoma" w:hAnsi="Tahoma" w:cs="Tahoma"/>
      <w:sz w:val="16"/>
      <w:szCs w:val="16"/>
    </w:rPr>
  </w:style>
  <w:style w:type="character" w:styleId="964" w:customStyle="1">
    <w:name w:val="1. Статья Знак"/>
    <w:link w:val="1025"/>
    <w:qFormat/>
    <w:pPr>
      <w:pBdr/>
      <w:spacing/>
      <w:ind/>
    </w:pPr>
    <w:rPr>
      <w:sz w:val="24"/>
      <w:szCs w:val="24"/>
    </w:rPr>
  </w:style>
  <w:style w:type="character" w:styleId="965" w:customStyle="1">
    <w:name w:val="4. Отчерк Знак"/>
    <w:link w:val="1030"/>
    <w:qFormat/>
    <w:pPr>
      <w:pBdr/>
      <w:spacing/>
      <w:ind/>
    </w:pPr>
    <w:rPr>
      <w:sz w:val="24"/>
      <w:szCs w:val="24"/>
    </w:rPr>
  </w:style>
  <w:style w:type="character" w:styleId="966">
    <w:name w:val="annotation reference"/>
    <w:qFormat/>
    <w:pPr>
      <w:pBdr/>
      <w:spacing/>
      <w:ind/>
    </w:pPr>
    <w:rPr>
      <w:sz w:val="16"/>
      <w:szCs w:val="16"/>
    </w:rPr>
  </w:style>
  <w:style w:type="character" w:styleId="967" w:customStyle="1">
    <w:name w:val="Текст примечания Знак"/>
    <w:link w:val="1031"/>
    <w:qFormat/>
    <w:pPr>
      <w:pBdr/>
      <w:spacing/>
      <w:ind/>
    </w:pPr>
  </w:style>
  <w:style w:type="character" w:styleId="968" w:customStyle="1">
    <w:name w:val="Тема примечания Знак"/>
    <w:link w:val="1032"/>
    <w:uiPriority w:val="99"/>
    <w:qFormat/>
    <w:pPr>
      <w:pBdr/>
      <w:spacing/>
      <w:ind/>
    </w:pPr>
    <w:rPr>
      <w:b/>
      <w:bCs/>
    </w:rPr>
  </w:style>
  <w:style w:type="character" w:styleId="969" w:customStyle="1">
    <w:name w:val="Нижний колонтитул Знак"/>
    <w:uiPriority w:val="99"/>
    <w:qFormat/>
    <w:pPr>
      <w:pBdr/>
      <w:spacing/>
      <w:ind/>
    </w:pPr>
    <w:rPr>
      <w:sz w:val="28"/>
      <w:szCs w:val="28"/>
    </w:rPr>
  </w:style>
  <w:style w:type="character" w:styleId="970" w:customStyle="1">
    <w:name w:val="Основной текст 3 Знак"/>
    <w:link w:val="1011"/>
    <w:qFormat/>
    <w:pPr>
      <w:pBdr/>
      <w:spacing/>
      <w:ind/>
    </w:pPr>
    <w:rPr>
      <w:color w:val="0000ff"/>
      <w:sz w:val="24"/>
      <w:szCs w:val="24"/>
      <w:lang w:eastAsia="en-US"/>
    </w:rPr>
  </w:style>
  <w:style w:type="character" w:styleId="971" w:customStyle="1">
    <w:name w:val="Заголовок Знак"/>
    <w:qFormat/>
    <w:pPr>
      <w:pBdr/>
      <w:spacing/>
      <w:ind/>
    </w:pPr>
    <w:rPr>
      <w:b/>
      <w:sz w:val="22"/>
      <w:szCs w:val="22"/>
      <w:shd w:val="clear" w:color="auto" w:fill="ffffff"/>
    </w:rPr>
  </w:style>
  <w:style w:type="character" w:styleId="972" w:customStyle="1">
    <w:name w:val="Заголовок 1 Знак"/>
    <w:qFormat/>
    <w:pPr>
      <w:pBdr/>
      <w:spacing/>
      <w:ind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973" w:customStyle="1">
    <w:name w:val="Заголовок 2 Знак"/>
    <w:semiHidden/>
    <w:qFormat/>
    <w:pPr>
      <w:pBdr/>
      <w:spacing/>
      <w:ind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74" w:customStyle="1">
    <w:name w:val="Основной текст с отступом Знак"/>
    <w:qFormat/>
    <w:pPr>
      <w:pBdr/>
      <w:spacing/>
      <w:ind/>
    </w:pPr>
    <w:rPr>
      <w:sz w:val="28"/>
      <w:szCs w:val="28"/>
    </w:rPr>
  </w:style>
  <w:style w:type="character" w:styleId="975" w:customStyle="1">
    <w:name w:val="Font Style16"/>
    <w:qFormat/>
    <w:pPr>
      <w:pBdr/>
      <w:spacing/>
      <w:ind/>
    </w:pPr>
    <w:rPr>
      <w:rFonts w:ascii="Times New Roman" w:hAnsi="Times New Roman" w:cs="Times New Roman"/>
      <w:sz w:val="24"/>
      <w:szCs w:val="24"/>
    </w:rPr>
  </w:style>
  <w:style w:type="character" w:styleId="976" w:customStyle="1">
    <w:name w:val="Текст сноски Знак"/>
    <w:qFormat/>
    <w:pPr>
      <w:pBdr/>
      <w:spacing/>
      <w:ind/>
    </w:pPr>
  </w:style>
  <w:style w:type="character" w:styleId="977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78" w:customStyle="1">
    <w:name w:val="Текст концевой сноски Знак"/>
    <w:uiPriority w:val="99"/>
    <w:semiHidden/>
    <w:qFormat/>
    <w:pPr>
      <w:pBdr/>
      <w:spacing/>
      <w:ind/>
    </w:pPr>
  </w:style>
  <w:style w:type="character" w:styleId="979">
    <w:name w:val="Символ концевой сноски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980">
    <w:name w:val="endnote reference"/>
    <w:pPr>
      <w:pBdr/>
      <w:spacing/>
      <w:ind/>
    </w:pPr>
    <w:rPr>
      <w:vertAlign w:val="superscript"/>
    </w:rPr>
  </w:style>
  <w:style w:type="character" w:styleId="981" w:customStyle="1">
    <w:name w:val="Верхний колонтитул Знак"/>
    <w:basedOn w:val="958"/>
    <w:uiPriority w:val="99"/>
    <w:qFormat/>
    <w:pPr>
      <w:pBdr/>
      <w:spacing/>
      <w:ind/>
    </w:pPr>
    <w:rPr>
      <w:sz w:val="28"/>
      <w:szCs w:val="28"/>
    </w:rPr>
  </w:style>
  <w:style w:type="character" w:styleId="982" w:customStyle="1">
    <w:name w:val="Текст Знак"/>
    <w:basedOn w:val="958"/>
    <w:link w:val="1045"/>
    <w:uiPriority w:val="99"/>
    <w:semiHidden/>
    <w:qFormat/>
    <w:pPr>
      <w:pBdr/>
      <w:spacing/>
      <w:ind/>
    </w:pPr>
    <w:rPr>
      <w:rFonts w:ascii="Calibri" w:hAnsi="Calibri" w:eastAsia="Calibri" w:cs="Arial" w:eastAsiaTheme="minorHAnsi" w:cstheme="minorBidi"/>
      <w:sz w:val="22"/>
      <w:szCs w:val="21"/>
      <w:lang w:eastAsia="en-US"/>
    </w:rPr>
  </w:style>
  <w:style w:type="character" w:styleId="983" w:customStyle="1">
    <w:name w:val="Абзац списка Знак"/>
    <w:link w:val="1024"/>
    <w:uiPriority w:val="34"/>
    <w:qFormat/>
    <w:pPr>
      <w:pBdr/>
      <w:spacing/>
      <w:ind/>
    </w:pPr>
    <w:rPr>
      <w:sz w:val="24"/>
      <w:szCs w:val="24"/>
    </w:rPr>
  </w:style>
  <w:style w:type="character" w:styleId="984">
    <w:name w:val="Strong"/>
    <w:qFormat/>
    <w:pPr>
      <w:pBdr/>
      <w:spacing/>
      <w:ind/>
    </w:pPr>
    <w:rPr>
      <w:b/>
      <w:bCs/>
    </w:rPr>
  </w:style>
  <w:style w:type="character" w:styleId="985">
    <w:name w:val="line number"/>
    <w:qFormat/>
    <w:pPr>
      <w:pBdr/>
      <w:spacing/>
      <w:ind/>
    </w:pPr>
    <w:rPr>
      <w:rFonts w:ascii="Times New Roman" w:hAnsi="Times New Roman" w:eastAsia="Times New Roman" w:cs="Times New Roman"/>
      <w:sz w:val="24"/>
      <w:szCs w:val="24"/>
    </w:rPr>
  </w:style>
  <w:style w:type="character" w:styleId="986">
    <w:name w:val="page number"/>
    <w:qFormat/>
    <w:pPr>
      <w:pBdr/>
      <w:spacing/>
      <w:ind/>
    </w:pPr>
    <w:rPr>
      <w:color w:val="000000"/>
      <w:szCs w:val="24"/>
    </w:rPr>
  </w:style>
  <w:style w:type="character" w:styleId="987">
    <w:name w:val="Footnote Characters"/>
    <w:qFormat/>
    <w:pPr>
      <w:pBdr/>
      <w:spacing/>
      <w:ind/>
    </w:pPr>
    <w:rPr>
      <w:rFonts w:ascii="Times New Roman" w:hAnsi="Times New Roman" w:eastAsia="Times New Roman" w:cs="Times New Roman"/>
      <w:color w:val="000000"/>
      <w:sz w:val="24"/>
      <w:vertAlign w:val="superscript"/>
    </w:rPr>
  </w:style>
  <w:style w:type="character" w:styleId="988">
    <w:name w:val="Основной текст 2 Знак"/>
    <w:qFormat/>
    <w:pPr>
      <w:pBdr/>
      <w:spacing/>
      <w:ind/>
    </w:pPr>
    <w:rPr>
      <w:rFonts w:ascii="Times New Roman" w:hAnsi="Times New Roman" w:eastAsia="Times New Roman" w:cs="Times New Roman"/>
      <w:color w:val="auto"/>
      <w:sz w:val="20"/>
      <w:szCs w:val="20"/>
    </w:rPr>
  </w:style>
  <w:style w:type="character" w:styleId="989">
    <w:name w:val="Заголовок 5 Знак"/>
    <w:basedOn w:val="958"/>
    <w:qFormat/>
    <w:pPr>
      <w:pBdr/>
      <w:spacing/>
      <w:ind/>
    </w:pPr>
    <w:rPr>
      <w:rFonts w:ascii="Cambria" w:hAnsi="Cambria" w:eastAsia="Times New Roman" w:cs="Times New Roman"/>
      <w:color w:val="365f91"/>
      <w:sz w:val="28"/>
      <w:szCs w:val="28"/>
    </w:rPr>
  </w:style>
  <w:style w:type="character" w:styleId="990">
    <w:name w:val="FollowedHyperlink"/>
    <w:pPr>
      <w:pBdr/>
      <w:spacing/>
      <w:ind/>
    </w:pPr>
    <w:rPr>
      <w:color w:val="800000"/>
      <w:u w:val="single"/>
    </w:rPr>
  </w:style>
  <w:style w:type="character" w:styleId="991">
    <w:name w:val="Символ нумерации"/>
    <w:qFormat/>
    <w:pPr>
      <w:pBdr/>
      <w:spacing/>
      <w:ind/>
    </w:pPr>
  </w:style>
  <w:style w:type="character" w:styleId="992">
    <w:name w:val="WW8Num14z3"/>
    <w:qFormat/>
    <w:pPr>
      <w:pBdr/>
      <w:spacing/>
      <w:ind/>
    </w:pPr>
    <w:rPr>
      <w:rFonts w:ascii="Symbol" w:hAnsi="Symbol" w:cs="Symbol"/>
    </w:rPr>
  </w:style>
  <w:style w:type="character" w:styleId="993">
    <w:name w:val="WW8Num14z2"/>
    <w:qFormat/>
    <w:pPr>
      <w:pBdr/>
      <w:spacing/>
      <w:ind/>
    </w:pPr>
    <w:rPr>
      <w:rFonts w:ascii="Wingdings" w:hAnsi="Wingdings" w:cs="Wingdings"/>
    </w:rPr>
  </w:style>
  <w:style w:type="character" w:styleId="994">
    <w:name w:val="WW8Num14z1"/>
    <w:qFormat/>
    <w:pPr>
      <w:pBdr/>
      <w:spacing/>
      <w:ind/>
    </w:pPr>
    <w:rPr>
      <w:rFonts w:ascii="Courier New" w:hAnsi="Courier New" w:cs="Courier New"/>
    </w:rPr>
  </w:style>
  <w:style w:type="character" w:styleId="995">
    <w:name w:val="WW8Num14z0"/>
    <w:qFormat/>
    <w:pPr>
      <w:pBdr/>
      <w:spacing/>
      <w:ind/>
    </w:pPr>
    <w:rPr>
      <w:rFonts w:ascii="Times New Roman" w:hAnsi="Times New Roman" w:cs="Times New Roman"/>
    </w:rPr>
  </w:style>
  <w:style w:type="character" w:styleId="996">
    <w:name w:val="WW8Num13z3"/>
    <w:qFormat/>
    <w:pPr>
      <w:pBdr/>
      <w:spacing/>
      <w:ind/>
    </w:pPr>
    <w:rPr>
      <w:b w:val="0"/>
      <w:i w:val="0"/>
    </w:rPr>
  </w:style>
  <w:style w:type="character" w:styleId="997">
    <w:name w:val="Знак сноски1"/>
    <w:qFormat/>
    <w:pPr>
      <w:pBdr/>
      <w:spacing/>
      <w:ind/>
    </w:pPr>
    <w:rPr>
      <w:vertAlign w:val="superscript"/>
    </w:rPr>
  </w:style>
  <w:style w:type="character" w:styleId="998">
    <w:name w:val="Маркеры"/>
    <w:qFormat/>
    <w:pPr>
      <w:pBdr/>
      <w:spacing/>
      <w:ind/>
    </w:pPr>
    <w:rPr>
      <w:rFonts w:ascii="OpenSymbol" w:hAnsi="OpenSymbol" w:eastAsia="OpenSymbol" w:cs="OpenSymbol"/>
    </w:rPr>
  </w:style>
  <w:style w:type="paragraph" w:styleId="999">
    <w:name w:val="Заголовок"/>
    <w:basedOn w:val="925"/>
    <w:next w:val="1000"/>
    <w:qFormat/>
    <w:pPr>
      <w:keepNext w:val="true"/>
      <w:pBdr/>
      <w:spacing w:after="120" w:before="240"/>
      <w:ind/>
    </w:pPr>
    <w:rPr>
      <w:rFonts w:ascii="Liberation Sans" w:hAnsi="Liberation Sans" w:eastAsia="Tahoma" w:cs="Lohit Devanagari"/>
      <w:sz w:val="28"/>
      <w:szCs w:val="28"/>
    </w:rPr>
  </w:style>
  <w:style w:type="paragraph" w:styleId="1000">
    <w:name w:val="Body Text"/>
    <w:basedOn w:val="925"/>
    <w:pPr>
      <w:pBdr/>
      <w:spacing w:after="120" w:before="0"/>
      <w:ind/>
    </w:pPr>
  </w:style>
  <w:style w:type="paragraph" w:styleId="1001">
    <w:name w:val="List"/>
    <w:basedOn w:val="1000"/>
    <w:pPr>
      <w:pBdr/>
      <w:spacing/>
      <w:ind/>
    </w:pPr>
    <w:rPr>
      <w:rFonts w:cs="Lohit Devanagari"/>
    </w:rPr>
  </w:style>
  <w:style w:type="paragraph" w:styleId="1002">
    <w:name w:val="Caption"/>
    <w:basedOn w:val="925"/>
    <w:qFormat/>
    <w:pPr>
      <w:suppressLineNumbers w:val="true"/>
      <w:pBdr/>
      <w:spacing w:after="120" w:before="120"/>
      <w:ind/>
    </w:pPr>
    <w:rPr>
      <w:rFonts w:cs="Lohit Devanagari"/>
      <w:i/>
      <w:iCs/>
      <w:sz w:val="24"/>
      <w:szCs w:val="24"/>
    </w:rPr>
  </w:style>
  <w:style w:type="paragraph" w:styleId="1003">
    <w:name w:val="Указатель"/>
    <w:basedOn w:val="925"/>
    <w:qFormat/>
    <w:pPr>
      <w:suppressLineNumbers w:val="true"/>
      <w:pBdr/>
      <w:spacing/>
      <w:ind/>
    </w:pPr>
    <w:rPr>
      <w:rFonts w:cs="Lohit Devanagari"/>
    </w:rPr>
  </w:style>
  <w:style w:type="paragraph" w:styleId="1004">
    <w:name w:val="Subtitle"/>
    <w:basedOn w:val="925"/>
    <w:next w:val="925"/>
    <w:link w:val="94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05">
    <w:name w:val="Quote"/>
    <w:basedOn w:val="925"/>
    <w:next w:val="925"/>
    <w:link w:val="946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1006">
    <w:name w:val="Intense Quote"/>
    <w:basedOn w:val="925"/>
    <w:next w:val="925"/>
    <w:link w:val="948"/>
    <w:uiPriority w:val="30"/>
    <w:qFormat/>
    <w:pPr>
      <w:pBdr>
        <w:top w:val="single" w:color="0f4761" w:sz="4" w:space="10"/>
        <w:bottom w:val="single" w:color="0f4761" w:sz="4" w:space="10"/>
      </w:pBdr>
      <w:spacing w:after="360" w:before="360"/>
      <w:ind w:right="864" w:firstLine="0" w:left="864"/>
      <w:jc w:val="center"/>
    </w:pPr>
    <w:rPr>
      <w:i/>
      <w:iCs/>
      <w:color w:val="0f4761" w:themeColor="accent1" w:themeShade="BF"/>
    </w:rPr>
  </w:style>
  <w:style w:type="paragraph" w:styleId="1007">
    <w:name w:val="No Spacing"/>
    <w:basedOn w:val="925"/>
    <w:uiPriority w:val="1"/>
    <w:qFormat/>
    <w:pPr>
      <w:pBdr/>
      <w:spacing w:after="0" w:before="0" w:line="240" w:lineRule="auto"/>
      <w:ind/>
    </w:pPr>
  </w:style>
  <w:style w:type="paragraph" w:styleId="1008">
    <w:name w:val="Index Heading"/>
    <w:basedOn w:val="999"/>
    <w:pPr>
      <w:pBdr/>
      <w:spacing/>
      <w:ind/>
    </w:pPr>
  </w:style>
  <w:style w:type="paragraph" w:styleId="1009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Times New Roman" w:hAnsi="Times New Roman" w:eastAsia="Tahoma" w:cs="Lohit Devanagari"/>
      <w:color w:val="auto"/>
      <w:sz w:val="20"/>
      <w:szCs w:val="20"/>
      <w:lang w:val="ru-RU" w:eastAsia="ru-RU" w:bidi="ar-SA"/>
    </w:rPr>
  </w:style>
  <w:style w:type="paragraph" w:styleId="1010">
    <w:name w:val="table of figures"/>
    <w:basedOn w:val="925"/>
    <w:next w:val="925"/>
    <w:uiPriority w:val="99"/>
    <w:unhideWhenUsed/>
    <w:qFormat/>
    <w:pPr>
      <w:pBdr/>
      <w:spacing w:after="0" w:afterAutospacing="0" w:before="0"/>
      <w:ind/>
    </w:pPr>
  </w:style>
  <w:style w:type="paragraph" w:styleId="1011">
    <w:name w:val="Body Text 3"/>
    <w:basedOn w:val="925"/>
    <w:link w:val="970"/>
    <w:qFormat/>
    <w:pPr>
      <w:pBdr/>
      <w:spacing w:line="240" w:lineRule="auto"/>
      <w:ind w:firstLine="0"/>
    </w:pPr>
    <w:rPr>
      <w:color w:val="0000ff"/>
      <w:sz w:val="24"/>
      <w:szCs w:val="24"/>
      <w:lang w:eastAsia="en-US"/>
    </w:rPr>
  </w:style>
  <w:style w:type="paragraph" w:styleId="1012">
    <w:name w:val="Колонтитул"/>
    <w:basedOn w:val="925"/>
    <w:qFormat/>
    <w:pPr>
      <w:pBdr/>
      <w:spacing/>
      <w:ind/>
    </w:pPr>
  </w:style>
  <w:style w:type="paragraph" w:styleId="1013">
    <w:name w:val="Header"/>
    <w:basedOn w:val="925"/>
    <w:link w:val="981"/>
    <w:uiPriority w:val="99"/>
    <w:pPr>
      <w:pBdr/>
      <w:tabs>
        <w:tab w:val="clear" w:leader="none" w:pos="709"/>
        <w:tab w:val="center" w:leader="none" w:pos="4677"/>
        <w:tab w:val="right" w:leader="none" w:pos="9355"/>
      </w:tabs>
      <w:spacing/>
      <w:ind/>
    </w:pPr>
  </w:style>
  <w:style w:type="paragraph" w:styleId="1014" w:customStyle="1">
    <w:name w:val="Style1"/>
    <w:basedOn w:val="925"/>
    <w:qFormat/>
    <w:pPr>
      <w:pBdr/>
      <w:spacing w:after="0" w:before="240" w:line="240" w:lineRule="auto"/>
      <w:ind w:firstLine="0"/>
      <w:jc w:val="left"/>
    </w:pPr>
    <w:rPr>
      <w:b/>
      <w:sz w:val="22"/>
      <w:szCs w:val="20"/>
    </w:rPr>
  </w:style>
  <w:style w:type="paragraph" w:styleId="1015">
    <w:name w:val="Body Text 2"/>
    <w:basedOn w:val="925"/>
    <w:qFormat/>
    <w:pPr>
      <w:widowControl w:val="false"/>
      <w:pBdr/>
      <w:spacing w:after="120" w:before="0" w:line="480" w:lineRule="auto"/>
      <w:ind w:firstLine="0"/>
      <w:jc w:val="left"/>
    </w:pPr>
    <w:rPr>
      <w:sz w:val="20"/>
      <w:szCs w:val="20"/>
    </w:rPr>
  </w:style>
  <w:style w:type="paragraph" w:styleId="1016" w:customStyle="1">
    <w:name w:val="Знак"/>
    <w:basedOn w:val="925"/>
    <w:qFormat/>
    <w:pPr>
      <w:pBdr/>
      <w:spacing w:after="160" w:before="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1017">
    <w:name w:val="footnote text"/>
    <w:basedOn w:val="925"/>
    <w:link w:val="976"/>
    <w:uiPriority w:val="99"/>
    <w:pPr>
      <w:pBdr/>
      <w:spacing w:line="240" w:lineRule="auto"/>
      <w:ind w:firstLine="0"/>
      <w:jc w:val="left"/>
    </w:pPr>
    <w:rPr>
      <w:sz w:val="20"/>
      <w:szCs w:val="20"/>
    </w:rPr>
  </w:style>
  <w:style w:type="paragraph" w:styleId="1018" w:customStyle="1">
    <w:name w:val="Знак Знак Знак Знак Знак Знак Знак"/>
    <w:basedOn w:val="925"/>
    <w:qFormat/>
    <w:pPr>
      <w:pBdr/>
      <w:spacing w:after="160" w:before="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1019" w:customStyle="1">
    <w:name w:val="Знак2"/>
    <w:basedOn w:val="925"/>
    <w:qFormat/>
    <w:pPr>
      <w:pBdr/>
      <w:spacing w:after="160" w:before="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1020" w:customStyle="1">
    <w:name w:val="Знак Знак Знак Знак Знак Знак Знак Знак Знак"/>
    <w:basedOn w:val="925"/>
    <w:qFormat/>
    <w:pPr>
      <w:pBdr/>
      <w:spacing w:after="160" w:before="0" w:line="240" w:lineRule="exact"/>
      <w:ind w:firstLine="0"/>
    </w:pPr>
    <w:rPr>
      <w:rFonts w:ascii="Verdana" w:hAnsi="Verdana"/>
      <w:sz w:val="22"/>
      <w:szCs w:val="20"/>
      <w:lang w:val="en-US" w:eastAsia="en-US"/>
    </w:rPr>
  </w:style>
  <w:style w:type="paragraph" w:styleId="1021" w:customStyle="1">
    <w:name w:val="Пункт договора"/>
    <w:basedOn w:val="925"/>
    <w:qFormat/>
    <w:pPr>
      <w:widowControl w:val="false"/>
      <w:pBdr/>
      <w:spacing w:line="240" w:lineRule="auto"/>
      <w:ind w:firstLine="0"/>
    </w:pPr>
    <w:rPr>
      <w:rFonts w:ascii="Arial" w:hAnsi="Arial"/>
      <w:sz w:val="20"/>
      <w:szCs w:val="20"/>
    </w:rPr>
  </w:style>
  <w:style w:type="paragraph" w:styleId="1022" w:customStyle="1">
    <w:name w:val="Подпункт договора"/>
    <w:basedOn w:val="925"/>
    <w:qFormat/>
    <w:pPr>
      <w:pBdr/>
      <w:tabs>
        <w:tab w:val="left" w:leader="none" w:pos="360"/>
        <w:tab w:val="clear" w:leader="none" w:pos="709"/>
      </w:tabs>
      <w:spacing w:line="240" w:lineRule="auto"/>
      <w:ind w:firstLine="0"/>
    </w:pPr>
    <w:rPr>
      <w:rFonts w:ascii="Arial" w:hAnsi="Arial"/>
      <w:sz w:val="20"/>
      <w:szCs w:val="20"/>
    </w:rPr>
  </w:style>
  <w:style w:type="paragraph" w:styleId="1023">
    <w:name w:val="Body Text Indent 3"/>
    <w:basedOn w:val="925"/>
    <w:qFormat/>
    <w:pPr>
      <w:pBdr/>
      <w:spacing w:after="120" w:before="0"/>
      <w:ind w:firstLine="567" w:left="283"/>
    </w:pPr>
    <w:rPr>
      <w:sz w:val="16"/>
      <w:szCs w:val="16"/>
    </w:rPr>
  </w:style>
  <w:style w:type="paragraph" w:styleId="1024">
    <w:name w:val="List Paragraph"/>
    <w:basedOn w:val="925"/>
    <w:link w:val="983"/>
    <w:uiPriority w:val="34"/>
    <w:qFormat/>
    <w:pPr>
      <w:pBdr/>
      <w:spacing w:after="0" w:before="0" w:line="240" w:lineRule="auto"/>
      <w:ind w:firstLine="0" w:left="720"/>
      <w:contextualSpacing w:val="true"/>
      <w:jc w:val="left"/>
    </w:pPr>
    <w:rPr>
      <w:sz w:val="24"/>
      <w:szCs w:val="24"/>
    </w:rPr>
  </w:style>
  <w:style w:type="paragraph" w:styleId="1025" w:customStyle="1">
    <w:name w:val="1. Статья"/>
    <w:basedOn w:val="928"/>
    <w:link w:val="964"/>
    <w:qFormat/>
    <w:pPr>
      <w:keepNext w:val="false"/>
      <w:widowControl w:val="false"/>
      <w:numPr>
        <w:ilvl w:val="0"/>
        <w:numId w:val="1"/>
      </w:numPr>
      <w:pBdr/>
      <w:tabs>
        <w:tab w:val="clear" w:leader="none" w:pos="709"/>
        <w:tab w:val="left" w:leader="none" w:pos="2340"/>
      </w:tabs>
      <w:spacing w:after="0" w:before="0"/>
      <w:ind w:right="1462" w:firstLine="0"/>
      <w:jc w:val="center"/>
    </w:pPr>
    <w:rPr>
      <w:b w:val="0"/>
      <w:sz w:val="24"/>
      <w:szCs w:val="24"/>
    </w:rPr>
  </w:style>
  <w:style w:type="paragraph" w:styleId="1026" w:customStyle="1">
    <w:name w:val="2. Пункт"/>
    <w:basedOn w:val="928"/>
    <w:qFormat/>
    <w:pPr>
      <w:keepNext w:val="false"/>
      <w:widowControl w:val="false"/>
      <w:numPr>
        <w:ilvl w:val="1"/>
        <w:numId w:val="1"/>
      </w:numPr>
      <w:pBdr/>
      <w:spacing w:after="0" w:before="0"/>
      <w:ind/>
      <w:jc w:val="both"/>
    </w:pPr>
    <w:rPr>
      <w:b w:val="0"/>
      <w:sz w:val="24"/>
      <w:szCs w:val="24"/>
    </w:rPr>
  </w:style>
  <w:style w:type="paragraph" w:styleId="1027" w:customStyle="1">
    <w:name w:val="3. Подпункт"/>
    <w:basedOn w:val="928"/>
    <w:link w:val="962"/>
    <w:qFormat/>
    <w:pPr>
      <w:keepNext w:val="false"/>
      <w:widowControl w:val="false"/>
      <w:numPr>
        <w:ilvl w:val="2"/>
        <w:numId w:val="1"/>
      </w:numPr>
      <w:pBdr/>
      <w:tabs>
        <w:tab w:val="clear" w:leader="none" w:pos="709"/>
        <w:tab w:val="left" w:leader="none" w:pos="1620"/>
      </w:tabs>
      <w:spacing w:after="0" w:before="0"/>
      <w:ind/>
      <w:jc w:val="both"/>
    </w:pPr>
    <w:rPr>
      <w:bCs/>
      <w:sz w:val="24"/>
      <w:szCs w:val="24"/>
    </w:rPr>
  </w:style>
  <w:style w:type="paragraph" w:styleId="1028" w:customStyle="1">
    <w:name w:val="ConsNormal"/>
    <w:qFormat/>
    <w:pPr>
      <w:widowControl w:val="true"/>
      <w:pBdr/>
      <w:bidi w:val="false"/>
      <w:spacing w:after="0" w:before="0"/>
      <w:ind w:right="19772" w:firstLine="720"/>
      <w:jc w:val="left"/>
    </w:pPr>
    <w:rPr>
      <w:rFonts w:ascii="Arial" w:hAnsi="Arial" w:eastAsia="Times New Roman" w:cs="Times New Roman"/>
      <w:color w:val="auto"/>
      <w:sz w:val="32"/>
      <w:szCs w:val="20"/>
      <w:lang w:val="ru-RU" w:eastAsia="en-US" w:bidi="ar-SA"/>
    </w:rPr>
  </w:style>
  <w:style w:type="paragraph" w:styleId="1029">
    <w:name w:val="Balloon Text"/>
    <w:basedOn w:val="925"/>
    <w:link w:val="963"/>
    <w:qFormat/>
    <w:pPr>
      <w:pBdr/>
      <w:spacing w:line="240" w:lineRule="auto"/>
      <w:ind/>
    </w:pPr>
    <w:rPr>
      <w:rFonts w:ascii="Tahoma" w:hAnsi="Tahoma"/>
      <w:sz w:val="16"/>
      <w:szCs w:val="16"/>
    </w:rPr>
  </w:style>
  <w:style w:type="paragraph" w:styleId="1030" w:customStyle="1">
    <w:name w:val="4. Отчерк"/>
    <w:basedOn w:val="925"/>
    <w:link w:val="965"/>
    <w:qFormat/>
    <w:pPr>
      <w:widowControl w:val="false"/>
      <w:numPr>
        <w:ilvl w:val="0"/>
        <w:numId w:val="2"/>
      </w:numPr>
      <w:pBdr/>
      <w:spacing w:line="240" w:lineRule="auto"/>
      <w:ind/>
    </w:pPr>
    <w:rPr>
      <w:sz w:val="24"/>
      <w:szCs w:val="24"/>
    </w:rPr>
  </w:style>
  <w:style w:type="paragraph" w:styleId="1031">
    <w:name w:val="annotation text"/>
    <w:basedOn w:val="925"/>
    <w:link w:val="967"/>
    <w:qFormat/>
    <w:pPr>
      <w:pBdr/>
      <w:spacing w:line="240" w:lineRule="auto"/>
      <w:ind/>
    </w:pPr>
    <w:rPr>
      <w:sz w:val="20"/>
      <w:szCs w:val="20"/>
    </w:rPr>
  </w:style>
  <w:style w:type="paragraph" w:styleId="1032">
    <w:name w:val="annotation subject"/>
    <w:basedOn w:val="1031"/>
    <w:next w:val="1031"/>
    <w:link w:val="968"/>
    <w:uiPriority w:val="99"/>
    <w:qFormat/>
    <w:pPr>
      <w:pBdr/>
      <w:spacing/>
      <w:ind/>
    </w:pPr>
    <w:rPr>
      <w:b/>
      <w:bCs/>
    </w:rPr>
  </w:style>
  <w:style w:type="paragraph" w:styleId="1033">
    <w:name w:val="Footer"/>
    <w:basedOn w:val="925"/>
    <w:link w:val="969"/>
    <w:uiPriority w:val="99"/>
    <w:pPr>
      <w:pBdr/>
      <w:tabs>
        <w:tab w:val="clear" w:leader="none" w:pos="709"/>
        <w:tab w:val="center" w:leader="none" w:pos="4677"/>
        <w:tab w:val="right" w:leader="none" w:pos="9355"/>
      </w:tabs>
      <w:spacing w:line="240" w:lineRule="auto"/>
      <w:ind/>
    </w:pPr>
  </w:style>
  <w:style w:type="paragraph" w:styleId="1034">
    <w:name w:val="Revision"/>
    <w:uiPriority w:val="99"/>
    <w:semiHidden/>
    <w:qFormat/>
    <w:pPr>
      <w:widowControl w:val="true"/>
      <w:pBdr/>
      <w:bidi w:val="false"/>
      <w:spacing w:after="0" w:before="0"/>
      <w:ind/>
      <w:jc w:val="left"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1035" w:customStyle="1">
    <w:name w:val="Title"/>
    <w:basedOn w:val="925"/>
    <w:link w:val="971"/>
    <w:qFormat/>
    <w:pPr>
      <w:widowControl w:val="false"/>
      <w:pBdr/>
      <w:spacing w:after="120" w:before="0" w:line="240" w:lineRule="auto"/>
      <w:ind w:firstLine="0"/>
      <w:jc w:val="center"/>
    </w:pPr>
    <w:rPr>
      <w:b/>
      <w:bCs/>
      <w:sz w:val="32"/>
      <w:szCs w:val="20"/>
    </w:rPr>
  </w:style>
  <w:style w:type="paragraph" w:styleId="1036">
    <w:name w:val="Body Text Indent"/>
    <w:basedOn w:val="925"/>
    <w:link w:val="974"/>
    <w:pPr>
      <w:pBdr/>
      <w:spacing w:after="120" w:before="0"/>
      <w:ind w:firstLine="567" w:left="283"/>
    </w:pPr>
  </w:style>
  <w:style w:type="paragraph" w:styleId="1037" w:customStyle="1">
    <w:name w:val="Пункт 3.3.3"/>
    <w:basedOn w:val="925"/>
    <w:qFormat/>
    <w:pPr>
      <w:keepNext w:val="true"/>
      <w:keepLines w:val="true"/>
      <w:widowControl w:val="false"/>
      <w:pBdr/>
      <w:tabs>
        <w:tab w:val="clear" w:leader="none" w:pos="709"/>
        <w:tab w:val="left" w:leader="none" w:pos="920"/>
      </w:tabs>
      <w:spacing w:after="240" w:before="240" w:line="240" w:lineRule="auto"/>
      <w:ind w:hanging="504" w:left="704"/>
      <w:jc w:val="left"/>
      <w:outlineLvl w:val="1"/>
    </w:pPr>
    <w:rPr>
      <w:sz w:val="24"/>
      <w:szCs w:val="20"/>
    </w:rPr>
  </w:style>
  <w:style w:type="paragraph" w:styleId="1038">
    <w:name w:val="caption1"/>
    <w:basedOn w:val="925"/>
    <w:next w:val="925"/>
    <w:qFormat/>
    <w:pPr>
      <w:widowControl w:val="false"/>
      <w:pBdr/>
      <w:spacing w:after="120" w:before="120" w:line="240" w:lineRule="auto"/>
      <w:ind w:firstLine="0"/>
    </w:pPr>
    <w:rPr>
      <w:b/>
      <w:bCs/>
      <w:sz w:val="24"/>
      <w:szCs w:val="24"/>
    </w:rPr>
  </w:style>
  <w:style w:type="paragraph" w:styleId="1039" w:customStyle="1">
    <w:name w:val="Знак1"/>
    <w:basedOn w:val="925"/>
    <w:qFormat/>
    <w:pPr>
      <w:pBdr/>
      <w:spacing w:after="160" w:before="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1040" w:customStyle="1">
    <w:name w:val="Контракт-раздел"/>
    <w:basedOn w:val="925"/>
    <w:qFormat/>
    <w:pPr>
      <w:keepNext w:val="true"/>
      <w:keepLines w:val="true"/>
      <w:numPr>
        <w:ilvl w:val="0"/>
        <w:numId w:val="4"/>
      </w:numPr>
      <w:pBdr/>
      <w:tabs>
        <w:tab w:val="left" w:leader="none" w:pos="0"/>
        <w:tab w:val="left" w:leader="none" w:pos="567"/>
        <w:tab w:val="clear" w:leader="none" w:pos="709"/>
      </w:tabs>
      <w:spacing w:after="120" w:before="360" w:line="240" w:lineRule="auto"/>
      <w:ind/>
      <w:jc w:val="center"/>
      <w:outlineLvl w:val="1"/>
    </w:pPr>
    <w:rPr>
      <w:b/>
      <w:bCs/>
      <w:caps/>
    </w:rPr>
  </w:style>
  <w:style w:type="paragraph" w:styleId="1041" w:customStyle="1">
    <w:name w:val="Контракт-пункт"/>
    <w:basedOn w:val="925"/>
    <w:qFormat/>
    <w:pPr>
      <w:numPr>
        <w:ilvl w:val="1"/>
        <w:numId w:val="4"/>
      </w:numPr>
      <w:pBdr/>
      <w:spacing/>
      <w:ind/>
    </w:pPr>
  </w:style>
  <w:style w:type="paragraph" w:styleId="1042" w:customStyle="1">
    <w:name w:val="Контракт-подпункт"/>
    <w:basedOn w:val="925"/>
    <w:qFormat/>
    <w:pPr>
      <w:numPr>
        <w:ilvl w:val="2"/>
        <w:numId w:val="4"/>
      </w:numPr>
      <w:pBdr/>
      <w:spacing/>
      <w:ind/>
    </w:pPr>
  </w:style>
  <w:style w:type="paragraph" w:styleId="1043" w:customStyle="1">
    <w:name w:val="Контракт-подподпункт"/>
    <w:basedOn w:val="925"/>
    <w:qFormat/>
    <w:pPr>
      <w:numPr>
        <w:ilvl w:val="3"/>
        <w:numId w:val="4"/>
      </w:numPr>
      <w:pBdr/>
      <w:spacing/>
      <w:ind/>
    </w:pPr>
  </w:style>
  <w:style w:type="paragraph" w:styleId="1044">
    <w:name w:val="endnote text"/>
    <w:basedOn w:val="925"/>
    <w:link w:val="978"/>
    <w:uiPriority w:val="99"/>
    <w:semiHidden/>
    <w:unhideWhenUsed/>
    <w:pPr>
      <w:pBdr/>
      <w:spacing/>
      <w:ind/>
    </w:pPr>
    <w:rPr>
      <w:sz w:val="20"/>
      <w:szCs w:val="20"/>
    </w:rPr>
  </w:style>
  <w:style w:type="paragraph" w:styleId="1045">
    <w:name w:val="Plain Text"/>
    <w:basedOn w:val="925"/>
    <w:link w:val="982"/>
    <w:uiPriority w:val="99"/>
    <w:semiHidden/>
    <w:unhideWhenUsed/>
    <w:qFormat/>
    <w:pPr>
      <w:pBdr/>
      <w:spacing w:line="240" w:lineRule="auto"/>
      <w:ind w:firstLine="0"/>
      <w:jc w:val="left"/>
    </w:pPr>
    <w:rPr>
      <w:rFonts w:ascii="Calibri" w:hAnsi="Calibri" w:eastAsia="Calibri" w:cs="Arial" w:eastAsiaTheme="minorHAnsi" w:cstheme="minorBidi"/>
      <w:sz w:val="22"/>
      <w:szCs w:val="21"/>
      <w:lang w:eastAsia="en-US"/>
    </w:rPr>
  </w:style>
  <w:style w:type="paragraph" w:styleId="1046">
    <w:name w:val="Содержимое таблицы"/>
    <w:basedOn w:val="925"/>
    <w:qFormat/>
    <w:pPr>
      <w:widowControl w:val="false"/>
      <w:suppressLineNumbers w:val="true"/>
      <w:pBdr/>
      <w:spacing/>
      <w:ind/>
    </w:pPr>
  </w:style>
  <w:style w:type="paragraph" w:styleId="1047">
    <w:name w:val="Заголовок таблицы"/>
    <w:basedOn w:val="1046"/>
    <w:qFormat/>
    <w:pPr>
      <w:suppressLineNumbers w:val="true"/>
      <w:pBdr/>
      <w:spacing/>
      <w:ind/>
      <w:jc w:val="center"/>
    </w:pPr>
    <w:rPr>
      <w:b/>
      <w:bCs/>
    </w:rPr>
  </w:style>
  <w:style w:type="paragraph" w:styleId="1048">
    <w:name w:val="index heading1"/>
    <w:basedOn w:val="925"/>
    <w:qFormat/>
    <w:pPr>
      <w:pBdr/>
      <w:spacing/>
      <w:ind/>
    </w:pPr>
    <w:rPr>
      <w:rFonts w:cs="Mangal"/>
    </w:rPr>
  </w:style>
  <w:style w:type="paragraph" w:styleId="1049">
    <w:name w:val="msolistparagraph"/>
    <w:basedOn w:val="925"/>
    <w:qFormat/>
    <w:pPr>
      <w:pBdr/>
      <w:spacing w:after="0" w:before="0"/>
      <w:ind w:right="0" w:firstLine="567" w:left="720"/>
      <w:contextualSpacing w:val="true"/>
    </w:pPr>
    <w:rPr>
      <w:sz w:val="28"/>
    </w:rPr>
  </w:style>
  <w:style w:type="paragraph" w:styleId="1050">
    <w:name w:val="List Number"/>
    <w:basedOn w:val="925"/>
    <w:qFormat/>
    <w:pPr>
      <w:numPr>
        <w:ilvl w:val="0"/>
        <w:numId w:val="17"/>
      </w:numPr>
      <w:pBdr/>
      <w:spacing w:line="240" w:lineRule="auto"/>
      <w:ind/>
      <w:jc w:val="left"/>
    </w:pPr>
    <w:rPr>
      <w:rFonts w:ascii="Geneva CY" w:hAnsi="Geneva CY" w:eastAsia="Geneva"/>
      <w:sz w:val="24"/>
      <w:szCs w:val="20"/>
      <w:lang w:eastAsia="en-US"/>
    </w:rPr>
  </w:style>
  <w:style w:type="paragraph" w:styleId="1051">
    <w:name w:val="Содержимое списка"/>
    <w:basedOn w:val="925"/>
    <w:qFormat/>
    <w:pPr>
      <w:pBdr/>
      <w:spacing/>
      <w:ind w:right="0" w:firstLine="567" w:left="567"/>
    </w:pPr>
  </w:style>
  <w:style w:type="numbering" w:styleId="1052" w:default="1">
    <w:name w:val="No List"/>
    <w:uiPriority w:val="99"/>
    <w:semiHidden/>
    <w:unhideWhenUsed/>
    <w:qFormat/>
    <w:pPr>
      <w:pBdr/>
      <w:spacing/>
      <w:ind/>
    </w:pPr>
  </w:style>
  <w:style w:type="numbering" w:styleId="1053">
    <w:name w:val="31850336831"/>
    <w:qFormat/>
    <w:pPr>
      <w:pBdr/>
      <w:spacing/>
      <w:ind/>
    </w:pPr>
  </w:style>
  <w:style w:type="numbering" w:styleId="1054">
    <w:name w:val="4467457911"/>
    <w:qFormat/>
    <w:pPr>
      <w:pBdr/>
      <w:spacing/>
      <w:ind/>
    </w:pPr>
  </w:style>
  <w:style w:type="numbering" w:styleId="1055">
    <w:name w:val="WW8Num13"/>
    <w:qFormat/>
    <w:pPr>
      <w:pBdr/>
      <w:spacing/>
      <w:ind/>
    </w:pPr>
  </w:style>
  <w:style w:type="numbering" w:styleId="1056">
    <w:name w:val="WW8Num14"/>
    <w:qFormat/>
    <w:pPr>
      <w:pBdr/>
      <w:spacing/>
      <w:ind/>
    </w:pPr>
  </w:style>
  <w:style w:type="numbering" w:styleId="1057">
    <w:name w:val="34731807841"/>
    <w:qFormat/>
    <w:pPr>
      <w:pBdr/>
      <w:spacing/>
      <w:ind/>
    </w:pPr>
  </w:style>
  <w:style w:type="table" w:styleId="1058">
    <w:name w:val="Table Grid Light"/>
    <w:basedOn w:val="1183"/>
    <w:uiPriority w:val="59"/>
    <w:pPr>
      <w:pBdr/>
      <w:spacing w:after="0" w:line="240" w:lineRule="auto"/>
      <w:ind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9">
    <w:name w:val="Plain Table 1"/>
    <w:basedOn w:val="1183"/>
    <w:uiPriority w:val="59"/>
    <w:pPr>
      <w:pBdr/>
      <w:spacing w:after="0" w:line="240" w:lineRule="auto"/>
      <w:ind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0">
    <w:name w:val="Plain Table 2"/>
    <w:basedOn w:val="1183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1">
    <w:name w:val="Plain Table 3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2">
    <w:name w:val="Plain Table 4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3">
    <w:name w:val="Plain Table 5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4">
    <w:name w:val="Grid Table 1 Light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5">
    <w:name w:val="Grid Table 1 Light - Accent 1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6">
    <w:name w:val="Grid Table 1 Light - Accent 2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7">
    <w:name w:val="Grid Table 1 Light - Accent 3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8">
    <w:name w:val="Grid Table 1 Light - Accent 4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9">
    <w:name w:val="Grid Table 1 Light - Accent 5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0">
    <w:name w:val="Grid Table 1 Light - Accent 6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1">
    <w:name w:val="Grid Table 2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2">
    <w:name w:val="Grid Table 2 - Accent 1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3">
    <w:name w:val="Grid Table 2 - Accent 2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4">
    <w:name w:val="Grid Table 2 - Accent 3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5">
    <w:name w:val="Grid Table 2 - Accent 4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6">
    <w:name w:val="Grid Table 2 - Accent 5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7">
    <w:name w:val="Grid Table 2 - Accent 6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8">
    <w:name w:val="Grid Table 3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9">
    <w:name w:val="Grid Table 3 - Accent 1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0">
    <w:name w:val="Grid Table 3 - Accent 2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1">
    <w:name w:val="Grid Table 3 - Accent 3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2">
    <w:name w:val="Grid Table 3 - Accent 4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3">
    <w:name w:val="Grid Table 3 - Accent 5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4">
    <w:name w:val="Grid Table 3 - Accent 6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5">
    <w:name w:val="Grid Table 4"/>
    <w:basedOn w:val="118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6">
    <w:name w:val="Grid Table 4 - Accent 1"/>
    <w:basedOn w:val="118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ce6f2" w:themeFill="accent1" w:themeFillTint="3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7">
    <w:name w:val="Grid Table 4 - Accent 2"/>
    <w:basedOn w:val="118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8">
    <w:name w:val="Grid Table 4 - Accent 3"/>
    <w:basedOn w:val="118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9">
    <w:name w:val="Grid Table 4 - Accent 4"/>
    <w:basedOn w:val="118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0">
    <w:name w:val="Grid Table 4 - Accent 5"/>
    <w:basedOn w:val="118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1">
    <w:name w:val="Grid Table 4 - Accent 6"/>
    <w:basedOn w:val="118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2">
    <w:name w:val="Grid Table 5 Dark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3">
    <w:name w:val="Grid Table 5 Dark- Accent 1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>
    <w:name w:val="Grid Table 5 Dark - Accent 2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5">
    <w:name w:val="Grid Table 5 Dark - Accent 3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>
    <w:name w:val="Grid Table 5 Dark- Accent 4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7">
    <w:name w:val="Grid Table 5 Dark - Accent 5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8">
    <w:name w:val="Grid Table 5 Dark - Accent 6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9">
    <w:name w:val="Grid Table 6 Colorful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0">
    <w:name w:val="Grid Table 6 Colorful - Accent 1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2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1">
    <w:name w:val="Grid Table 6 Colorful - Accent 2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2">
    <w:name w:val="Grid Table 6 Colorful - Accent 3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3">
    <w:name w:val="Grid Table 6 Colorful - Accent 4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4">
    <w:name w:val="Grid Table 6 Colorful - Accent 5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5">
    <w:name w:val="Grid Table 6 Colorful - Accent 6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6">
    <w:name w:val="Grid Table 7 Colorful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7">
    <w:name w:val="Grid Table 7 Colorful - Accent 1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2Horz">
      <w:rPr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8">
    <w:name w:val="Grid Table 7 Colorful - Accent 2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rPr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9">
    <w:name w:val="Grid Table 7 Colorful - Accent 3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rPr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0">
    <w:name w:val="Grid Table 7 Colorful - Accent 4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rPr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1">
    <w:name w:val="Grid Table 7 Colorful - Accent 5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rPr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2">
    <w:name w:val="Grid Table 7 Colorful - Accent 6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rPr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3">
    <w:name w:val="List Table 1 Light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4">
    <w:name w:val="List Table 1 Light - Accent 1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5">
    <w:name w:val="List Table 1 Light - Accent 2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6">
    <w:name w:val="List Table 1 Light - Accent 3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7">
    <w:name w:val="List Table 1 Light - Accent 4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8">
    <w:name w:val="List Table 1 Light - Accent 5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9">
    <w:name w:val="List Table 1 Light - Accent 6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0">
    <w:name w:val="List Table 2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1">
    <w:name w:val="List Table 2 - Accent 1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2">
    <w:name w:val="List Table 2 - Accent 2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3">
    <w:name w:val="List Table 2 - Accent 3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4">
    <w:name w:val="List Table 2 - Accent 4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5">
    <w:name w:val="List Table 2 - Accent 5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6">
    <w:name w:val="List Table 2 - Accent 6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7">
    <w:name w:val="List Table 3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8">
    <w:name w:val="List Table 3 - Accent 1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9">
    <w:name w:val="List Table 3 - Accent 2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0">
    <w:name w:val="List Table 3 - Accent 3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1">
    <w:name w:val="List Table 3 - Accent 4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2">
    <w:name w:val="List Table 3 - Accent 5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3">
    <w:name w:val="List Table 3 - Accent 6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4">
    <w:name w:val="List Table 4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5">
    <w:name w:val="List Table 4 - Accent 1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6">
    <w:name w:val="List Table 4 - Accent 2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7">
    <w:name w:val="List Table 4 - Accent 3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8">
    <w:name w:val="List Table 4 - Accent 4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9">
    <w:name w:val="List Table 4 - Accent 5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0">
    <w:name w:val="List Table 4 - Accent 6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1">
    <w:name w:val="List Table 5 Dark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2">
    <w:name w:val="List Table 5 Dark - Accent 1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3">
    <w:name w:val="List Table 5 Dark - Accent 2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4">
    <w:name w:val="List Table 5 Dark - Accent 3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5">
    <w:name w:val="List Table 5 Dark - Accent 4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6">
    <w:name w:val="List Table 5 Dark - Accent 5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7">
    <w:name w:val="List Table 5 Dark - Accent 6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8">
    <w:name w:val="List Table 6 Colorful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9">
    <w:name w:val="List Table 6 Colorful - Accent 1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0">
    <w:name w:val="List Table 6 Colorful - Accent 2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1">
    <w:name w:val="List Table 6 Colorful - Accent 3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2">
    <w:name w:val="List Table 6 Colorful - Accent 4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3">
    <w:name w:val="List Table 6 Colorful - Accent 5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4">
    <w:name w:val="List Table 6 Colorful - Accent 6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5">
    <w:name w:val="List Table 7 Colorful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6">
    <w:name w:val="List Table 7 Colorful - Accent 1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rPr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7">
    <w:name w:val="List Table 7 Colorful - Accent 2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rPr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8">
    <w:name w:val="List Table 7 Colorful - Accent 3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rPr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9">
    <w:name w:val="List Table 7 Colorful - Accent 4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rPr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0">
    <w:name w:val="List Table 7 Colorful - Accent 5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rPr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1">
    <w:name w:val="List Table 7 Colorful - Accent 6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rPr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2">
    <w:name w:val="Lined - Accent"/>
    <w:basedOn w:val="11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3">
    <w:name w:val="Lined - Accent 1"/>
    <w:basedOn w:val="11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8d7ea" w:themeFill="accent1" w:themeFillTint="50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8d7ea" w:themeFill="accent1" w:themeFillTint="50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4">
    <w:name w:val="Lined - Accent 2"/>
    <w:basedOn w:val="11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5">
    <w:name w:val="Lined - Accent 3"/>
    <w:basedOn w:val="11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6">
    <w:name w:val="Lined - Accent 4"/>
    <w:basedOn w:val="11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7">
    <w:name w:val="Lined - Accent 5"/>
    <w:basedOn w:val="11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8">
    <w:name w:val="Lined - Accent 6"/>
    <w:basedOn w:val="11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9">
    <w:name w:val="Bordered &amp; Lined - Accent"/>
    <w:basedOn w:val="11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0">
    <w:name w:val="Bordered &amp; Lined - Accent 1"/>
    <w:basedOn w:val="11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8d7ea" w:themeFill="accent1" w:themeFillTint="50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8d7ea" w:themeFill="accent1" w:themeFillTint="50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1">
    <w:name w:val="Bordered &amp; Lined - Accent 2"/>
    <w:basedOn w:val="11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2">
    <w:name w:val="Bordered &amp; Lined - Accent 3"/>
    <w:basedOn w:val="11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3">
    <w:name w:val="Bordered &amp; Lined - Accent 4"/>
    <w:basedOn w:val="11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4">
    <w:name w:val="Bordered &amp; Lined - Accent 5"/>
    <w:basedOn w:val="11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5">
    <w:name w:val="Bordered &amp; Lined - Accent 6"/>
    <w:basedOn w:val="11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6">
    <w:name w:val="Bordered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7">
    <w:name w:val="Bordered - Accent 1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8">
    <w:name w:val="Bordered - Accent 2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9">
    <w:name w:val="Bordered - Accent 3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0">
    <w:name w:val="Bordered - Accent 4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1">
    <w:name w:val="Bordered - Accent 5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2">
    <w:name w:val="Bordered - Accent 6"/>
    <w:basedOn w:val="11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3" w:default="1">
    <w:name w:val="Normal Table"/>
    <w:uiPriority w:val="99"/>
    <w:semiHidden/>
    <w:unhideWhenUsed/>
    <w:pPr>
      <w:pBdr/>
      <w:spacing/>
      <w:ind/>
    </w:pPr>
    <w:tblPr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4">
    <w:name w:val="Table Grid"/>
    <w:basedOn w:val="1183"/>
    <w:uiPriority w:val="39"/>
    <w:pPr>
      <w:pBdr/>
      <w:spacing w:line="360" w:lineRule="auto"/>
      <w:ind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_6661" w:customStyle="1">
    <w:name w:val="Сетка таблицы2"/>
    <w:basedOn w:val="993"/>
    <w:uiPriority w:val="39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hint="default" w:asciiTheme="minorHAnsi" w:hAnsiTheme="minorHAns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</w:tblPr>
    <w:trPr>
      <w:cantSplit w:val="false"/>
      <w:jc w:val="left"/>
    </w:trPr>
    <w:tcPr>
      <w:tcBorders/>
      <w:tcW w:w="0" w:type="auto"/>
      <w:vAlign w:val="top"/>
      <w:vMerge w:val="restart"/>
      <w:hMerge w:val="restart"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footer" Target="footer3.xml" /><Relationship Id="rId18" Type="http://schemas.openxmlformats.org/officeDocument/2006/relationships/footer" Target="footer4.xml" /><Relationship Id="rId19" Type="http://schemas.openxmlformats.org/officeDocument/2006/relationships/footer" Target="footer5.xml" /><Relationship Id="rId20" Type="http://schemas.openxmlformats.org/officeDocument/2006/relationships/customXml" Target="../customXml/item1.xml" /><Relationship Id="rId21" Type="http://schemas.openxmlformats.org/officeDocument/2006/relationships/customXml" Target="../customXml/item2.xml" /><Relationship Id="rId22" Type="http://schemas.openxmlformats.org/officeDocument/2006/relationships/customXml" Target="../customXml/item3.xml" /><Relationship Id="rId23" Type="http://schemas.openxmlformats.org/officeDocument/2006/relationships/customXml" Target="../customXml/item4.xml" /><Relationship Id="rId24" Type="http://schemas.openxmlformats.org/officeDocument/2006/relationships/customXml" Target="../customXml/item5.xml" /><Relationship Id="rId25" Type="http://schemas.openxmlformats.org/officeDocument/2006/relationships/hyperlink" Target="mailto:ld@rushydro.ru" TargetMode="External"/><Relationship Id="rId26" Type="http://schemas.openxmlformats.org/officeDocument/2006/relationships/hyperlink" Target="consultantplus://offline/ref=94D5CE8889791A29DE57299515463A9D6134D8237B999C803E6F853513x2A2P" TargetMode="External"/><Relationship Id="rId27" Type="http://schemas.openxmlformats.org/officeDocument/2006/relationships/hyperlink" Target="consultantplus://offline/ref=94D5CE8889791A29DE57299515463A9D6135D2287D929C803E6F853513x2A2P" TargetMode="External"/><Relationship Id="rId28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258912-A860-4625-B7F6-93D124AA8AD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E4318F3-1FBE-4F95-80B3-0530D12D45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7B4142-3D5E-494D-9E7B-540ACE2ADA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>УК ГидроОГК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dc:description/>
  <dc:language>ru-RU</dc:language>
  <cp:revision>173</cp:revision>
  <dcterms:created xsi:type="dcterms:W3CDTF">2020-05-31T20:50:00Z</dcterms:created>
  <dcterms:modified xsi:type="dcterms:W3CDTF">2026-08-24T23:57:08Z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